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b523" w14:textId="f1cb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18 тамыздағы № ҚР ДСМ-84 бұйрығы. Қазақстан Республикасының Әділет министрлігінде 2022 жылғы 19 тамызда № 29192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(нормативтік құқықтық актілерді мемлекеттік тіркеу тізілімінде № 21847 болып тіркелген),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1-тарауында</w:t>
      </w:r>
      <w:r>
        <w:rPr>
          <w:rFonts w:ascii="Times New Roman"/>
          <w:b w:val="false"/>
          <w:i w:val="false"/>
          <w:color w:val="000000"/>
          <w:sz w:val="28"/>
        </w:rPr>
        <w:t xml:space="preserve"> бекітілген Денсаулық сақтау саласындағы мамандарға қосымша және формальды емес білім беру арқылы алынған оқыту нәтижелерін тану </w:t>
      </w:r>
      <w:r>
        <w:rPr>
          <w:rFonts w:ascii="Times New Roman"/>
          <w:b w:val="false"/>
          <w:i w:val="false"/>
          <w:color w:val="000000"/>
          <w:sz w:val="28"/>
        </w:rPr>
        <w:t>қағидаларына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"1. Денсаулық сақтау саласындағы мамандарға қосымша және формальды емес білім беру қағидалары (бұдан әрі – Қағидалар)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мамандардың қосымша және бейресми білім беру бағдарламаларын іске асыру және қосымша және бейресми білім беру арқылы алынған оқыту нәтижелерін тану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Қосымша білім беру бюджет, жұмыс беруші қаражаты және (немесе)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val="false"/>
          <w:i w:val="false"/>
          <w:color w:val="000000"/>
          <w:sz w:val="28"/>
        </w:rPr>
        <w:t>
      Республикалық және жергілікті бюджеттер қаражаты есебінен шетелдік ұйымдарға қосымша білім беруге мемлекеттік денсаулық сақтау ұйымдарында, жарғылық капиталына мемлекет жүз пайыз қатысатын заңды тұлғаларда немесе дауыс беретін акцияларының (қатысу үлестерінің) елу пайыздан астамы оған меншік құқығымен тиесілі оның еншілес ұйымы және коммерциялық емес медициналық білім беру ұйымдарының клиникаларында жұмыс істейтін денсаулық сақтау саласындағы мамандар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екінші бөлік мынадай редакцияда жазылсын:</w:t>
      </w:r>
    </w:p>
    <w:p>
      <w:pPr>
        <w:spacing w:after="0"/>
        <w:ind w:left="0"/>
        <w:jc w:val="both"/>
      </w:pPr>
      <w:r>
        <w:rPr>
          <w:rFonts w:ascii="Times New Roman"/>
          <w:b w:val="false"/>
          <w:i w:val="false"/>
          <w:color w:val="000000"/>
          <w:sz w:val="28"/>
        </w:rPr>
        <w:t xml:space="preserve">
      "Тыңдаушыларды базистік және ағымдағы бақылауды білім беру ұйымдары жүргізеді. Тыңдаушыларды қорытынды бақылауды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сәйкес айқындалған тәртіппен сертификаттау курстарының бағдарламалары бойынша Бағалау жөніндегі аккредиттелген ұйым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органдар "Денсаулық сақтау қызметкерлерінің үздіксіз кәсіптік даму нәтижелерін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қосымша және бейресми білім беруді оқытудың расталған нәтижелерін таниды.";</w:t>
      </w:r>
    </w:p>
    <w:bookmarkStart w:name="z7" w:id="2"/>
    <w:p>
      <w:pPr>
        <w:spacing w:after="0"/>
        <w:ind w:left="0"/>
        <w:jc w:val="both"/>
      </w:pPr>
      <w:r>
        <w:rPr>
          <w:rFonts w:ascii="Times New Roman"/>
          <w:b w:val="false"/>
          <w:i w:val="false"/>
          <w:color w:val="000000"/>
          <w:sz w:val="28"/>
        </w:rPr>
        <w:t xml:space="preserve">
      көрсетілген бұйрыққа 2-қосымшамен бекітілген Денсаулық сақтау саласындағы қосымша және бейресми білімнің білім беру бағдарламаларын іске асыратын ұйымдарға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"1. Денсаулық сақтау саласындағы қосымша және формальды емес білімнің білім беру бағдарламаларын іске асыратын ұйымдарға қойылатын біліктілік талаптары (бұдан әрі – Біліктілік талаптары) "Халық денсаулығы және денсаулық сақтау жүйесі туралы" Қазақстан Республикасының Кодексі (бұдан әрі – Кодекс)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айқындайды.</w:t>
      </w:r>
    </w:p>
    <w:bookmarkStart w:name="z9" w:id="3"/>
    <w:p>
      <w:pPr>
        <w:spacing w:after="0"/>
        <w:ind w:left="0"/>
        <w:jc w:val="both"/>
      </w:pPr>
      <w:r>
        <w:rPr>
          <w:rFonts w:ascii="Times New Roman"/>
          <w:b w:val="false"/>
          <w:i w:val="false"/>
          <w:color w:val="000000"/>
          <w:sz w:val="28"/>
        </w:rPr>
        <w:t>
      2. Осы Біліктілік талаптарында мынадай терминдер мен анықтамалар пайдаланылады:</w:t>
      </w:r>
    </w:p>
    <w:bookmarkEnd w:id="3"/>
    <w:p>
      <w:pPr>
        <w:spacing w:after="0"/>
        <w:ind w:left="0"/>
        <w:jc w:val="both"/>
      </w:pPr>
      <w:r>
        <w:rPr>
          <w:rFonts w:ascii="Times New Roman"/>
          <w:b w:val="false"/>
          <w:i w:val="false"/>
          <w:color w:val="000000"/>
          <w:sz w:val="28"/>
        </w:rPr>
        <w:t>
      1)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бірыңғай кешені;</w:t>
      </w:r>
    </w:p>
    <w:p>
      <w:pPr>
        <w:spacing w:after="0"/>
        <w:ind w:left="0"/>
        <w:jc w:val="both"/>
      </w:pPr>
      <w:r>
        <w:rPr>
          <w:rFonts w:ascii="Times New Roman"/>
          <w:b w:val="false"/>
          <w:i w:val="false"/>
          <w:color w:val="000000"/>
          <w:sz w:val="28"/>
        </w:rPr>
        <w:t>
      2)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p>
      <w:pPr>
        <w:spacing w:after="0"/>
        <w:ind w:left="0"/>
        <w:jc w:val="both"/>
      </w:pPr>
      <w:r>
        <w:rPr>
          <w:rFonts w:ascii="Times New Roman"/>
          <w:b w:val="false"/>
          <w:i w:val="false"/>
          <w:color w:val="000000"/>
          <w:sz w:val="28"/>
        </w:rPr>
        <w:t>
      3) симуляциялық технологиялар – дағдыларды пысықтау және тапсыру үшін жасанды ортадағы клиникалық жағдайлардың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шындықтар, компьютерлік бағдарламалар және т.б.);</w:t>
      </w:r>
    </w:p>
    <w:p>
      <w:pPr>
        <w:spacing w:after="0"/>
        <w:ind w:left="0"/>
        <w:jc w:val="both"/>
      </w:pPr>
      <w:r>
        <w:rPr>
          <w:rFonts w:ascii="Times New Roman"/>
          <w:b w:val="false"/>
          <w:i w:val="false"/>
          <w:color w:val="000000"/>
          <w:sz w:val="28"/>
        </w:rPr>
        <w:t>
      4) формальды емес білім беру – оқу орны, мерзімі мен нысаны есепке алынбай көрсетілетін білім беру қызметтерін көрсететін ұйымдарымен жүзеге асыралатын және оқыту нәтижелерін растайтын құжат берілетін білім беру түрі.</w:t>
      </w:r>
    </w:p>
    <w:bookmarkStart w:name="z10" w:id="4"/>
    <w:p>
      <w:pPr>
        <w:spacing w:after="0"/>
        <w:ind w:left="0"/>
        <w:jc w:val="both"/>
      </w:pPr>
      <w:r>
        <w:rPr>
          <w:rFonts w:ascii="Times New Roman"/>
          <w:b w:val="false"/>
          <w:i w:val="false"/>
          <w:color w:val="000000"/>
          <w:sz w:val="28"/>
        </w:rPr>
        <w:t>
      3. Денсаулық сақтау саласындағы қосымша білімнің білім беру бағдарламаларын іске асыратын ұйымдарға мынадай біліктілік талаптары қойылады:</w:t>
      </w:r>
    </w:p>
    <w:bookmarkEnd w:id="4"/>
    <w:p>
      <w:pPr>
        <w:spacing w:after="0"/>
        <w:ind w:left="0"/>
        <w:jc w:val="both"/>
      </w:pPr>
      <w:r>
        <w:rPr>
          <w:rFonts w:ascii="Times New Roman"/>
          <w:b w:val="false"/>
          <w:i w:val="false"/>
          <w:color w:val="000000"/>
          <w:sz w:val="28"/>
        </w:rPr>
        <w:t xml:space="preserve">
      1) Кодекстің 221-бабының </w:t>
      </w:r>
      <w:r>
        <w:rPr>
          <w:rFonts w:ascii="Times New Roman"/>
          <w:b w:val="false"/>
          <w:i w:val="false"/>
          <w:color w:val="000000"/>
          <w:sz w:val="28"/>
        </w:rPr>
        <w:t>6-тармағына</w:t>
      </w:r>
      <w:r>
        <w:rPr>
          <w:rFonts w:ascii="Times New Roman"/>
          <w:b w:val="false"/>
          <w:i w:val="false"/>
          <w:color w:val="000000"/>
          <w:sz w:val="28"/>
        </w:rPr>
        <w:t xml:space="preserve"> сәйкес институционалдық аккредиттеу туралы куәліктің болуы;</w:t>
      </w:r>
    </w:p>
    <w:p>
      <w:pPr>
        <w:spacing w:after="0"/>
        <w:ind w:left="0"/>
        <w:jc w:val="both"/>
      </w:pPr>
      <w:r>
        <w:rPr>
          <w:rFonts w:ascii="Times New Roman"/>
          <w:b w:val="false"/>
          <w:i w:val="false"/>
          <w:color w:val="000000"/>
          <w:sz w:val="28"/>
        </w:rPr>
        <w:t>
      2) кадрлық қамтамасыз етуге:</w:t>
      </w:r>
    </w:p>
    <w:p>
      <w:pPr>
        <w:spacing w:after="0"/>
        <w:ind w:left="0"/>
        <w:jc w:val="both"/>
      </w:pPr>
      <w:r>
        <w:rPr>
          <w:rFonts w:ascii="Times New Roman"/>
          <w:b w:val="false"/>
          <w:i w:val="false"/>
          <w:color w:val="000000"/>
          <w:sz w:val="28"/>
        </w:rPr>
        <w:t>
      қосымша білім беруді (оның ішінде қашықтықтан оқытуды пайдалана отырып және көшпелі циклдерде) ғылым докторы немесе ғылым кандидаты дәрежесі, философия докторы немесе магистр академиялық дәрежесі бар адамдар өткізеді. Практикалық сабақтарды өткізу үшін профессорлық-оқытушылар құрамының жалпы санының 50 % - ынан аспайтын ғылыми дәрежесі жоқ, практикалық денсаулық сақтау мамандары оқутышыларды тарту рұқсат етіледі.</w:t>
      </w:r>
    </w:p>
    <w:p>
      <w:pPr>
        <w:spacing w:after="0"/>
        <w:ind w:left="0"/>
        <w:jc w:val="both"/>
      </w:pPr>
      <w:r>
        <w:rPr>
          <w:rFonts w:ascii="Times New Roman"/>
          <w:b w:val="false"/>
          <w:i w:val="false"/>
          <w:color w:val="000000"/>
          <w:sz w:val="28"/>
        </w:rPr>
        <w:t>
      практикалық денсаулық сақтау мамандарын қоспағанда, оқытушылардың мамандық бейіні бойынша кемінде 5 жыл қосымша жұмыс тәжірибесінің және кемінде 3 жыл ғылыми – педагогикалық өтілінің болуы, сондай-ақ оқытатын бейіні бойынша соңғы 5 жыл ішінде кемінде 4 кредиттің (120 сағат) біліктілігін арттыруы;</w:t>
      </w:r>
    </w:p>
    <w:p>
      <w:pPr>
        <w:spacing w:after="0"/>
        <w:ind w:left="0"/>
        <w:jc w:val="both"/>
      </w:pPr>
      <w:r>
        <w:rPr>
          <w:rFonts w:ascii="Times New Roman"/>
          <w:b w:val="false"/>
          <w:i w:val="false"/>
          <w:color w:val="000000"/>
          <w:sz w:val="28"/>
        </w:rPr>
        <w:t>
      3) оқу-әдістемелік қамтамасыз етуге:</w:t>
      </w:r>
    </w:p>
    <w:p>
      <w:pPr>
        <w:spacing w:after="0"/>
        <w:ind w:left="0"/>
        <w:jc w:val="both"/>
      </w:pPr>
      <w:r>
        <w:rPr>
          <w:rFonts w:ascii="Times New Roman"/>
          <w:b w:val="false"/>
          <w:i w:val="false"/>
          <w:color w:val="000000"/>
          <w:sz w:val="28"/>
        </w:rPr>
        <w:t>
      біліктілікті арттыру бағдарламасының болуы;</w:t>
      </w:r>
    </w:p>
    <w:p>
      <w:pPr>
        <w:spacing w:after="0"/>
        <w:ind w:left="0"/>
        <w:jc w:val="both"/>
      </w:pPr>
      <w:r>
        <w:rPr>
          <w:rFonts w:ascii="Times New Roman"/>
          <w:b w:val="false"/>
          <w:i w:val="false"/>
          <w:color w:val="000000"/>
          <w:sz w:val="28"/>
        </w:rPr>
        <w:t>
      бейінді халықаралық ақпараттық желілерге, электрондық дерекқорларға, кітапхана қорларына, компьютерлік технологияларға, оқу-әдістемелік және ғылыми әдебиеттерге қолжетімділіктің болуы;</w:t>
      </w:r>
    </w:p>
    <w:p>
      <w:pPr>
        <w:spacing w:after="0"/>
        <w:ind w:left="0"/>
        <w:jc w:val="both"/>
      </w:pPr>
      <w:r>
        <w:rPr>
          <w:rFonts w:ascii="Times New Roman"/>
          <w:b w:val="false"/>
          <w:i w:val="false"/>
          <w:color w:val="000000"/>
          <w:sz w:val="28"/>
        </w:rPr>
        <w:t>
      оқытудың инновациялық, симуляциялық технологиялары мен интерактивті әдістерінің болуы;</w:t>
      </w:r>
    </w:p>
    <w:p>
      <w:pPr>
        <w:spacing w:after="0"/>
        <w:ind w:left="0"/>
        <w:jc w:val="both"/>
      </w:pPr>
      <w:r>
        <w:rPr>
          <w:rFonts w:ascii="Times New Roman"/>
          <w:b w:val="false"/>
          <w:i w:val="false"/>
          <w:color w:val="000000"/>
          <w:sz w:val="28"/>
        </w:rPr>
        <w:t>
      базистік, ағымдағы және қорытынды бақылауды бағалаудың бақылау-өлшеу құралдарының болуы;</w:t>
      </w:r>
    </w:p>
    <w:p>
      <w:pPr>
        <w:spacing w:after="0"/>
        <w:ind w:left="0"/>
        <w:jc w:val="both"/>
      </w:pPr>
      <w:r>
        <w:rPr>
          <w:rFonts w:ascii="Times New Roman"/>
          <w:b w:val="false"/>
          <w:i w:val="false"/>
          <w:color w:val="000000"/>
          <w:sz w:val="28"/>
        </w:rPr>
        <w:t>
      4) материалдық-техникалық қамтамасыз етуге:</w:t>
      </w:r>
    </w:p>
    <w:p>
      <w:pPr>
        <w:spacing w:after="0"/>
        <w:ind w:left="0"/>
        <w:jc w:val="both"/>
      </w:pPr>
      <w:r>
        <w:rPr>
          <w:rFonts w:ascii="Times New Roman"/>
          <w:b w:val="false"/>
          <w:i w:val="false"/>
          <w:color w:val="000000"/>
          <w:sz w:val="28"/>
        </w:rPr>
        <w:t>
      меншік құқығында не жедел (сенімгерлік) басқару, жалдау туралы шарттар бойынша аудиториялық қордың, тыңдаушылар контингентінің көлеміне, санитарлық-техникалық нормалар мен ережелерге сәйкес келетін сыныптардың, зертханалардың болуы;</w:t>
      </w:r>
    </w:p>
    <w:p>
      <w:pPr>
        <w:spacing w:after="0"/>
        <w:ind w:left="0"/>
        <w:jc w:val="both"/>
      </w:pPr>
      <w:r>
        <w:rPr>
          <w:rFonts w:ascii="Times New Roman"/>
          <w:b w:val="false"/>
          <w:i w:val="false"/>
          <w:color w:val="000000"/>
          <w:sz w:val="28"/>
        </w:rPr>
        <w:t>
      меншік құқығында қосымша білім беру бағдарламаларын тыңдаушылар контингентінің көлеміне, интернет желісіне қол жеткізе отырып, баспа, аудио, бейне-материалдарды көрсетуге арналған компьютерлік жабдықтың, кітапхана қорының, симуляциялық жабдықтың (манекендердің, муляждардың, тренажерлердің) санитариялық - техникалық нормалары мен ережелеріне сәйкес болуы;</w:t>
      </w:r>
    </w:p>
    <w:p>
      <w:pPr>
        <w:spacing w:after="0"/>
        <w:ind w:left="0"/>
        <w:jc w:val="both"/>
      </w:pPr>
      <w:r>
        <w:rPr>
          <w:rFonts w:ascii="Times New Roman"/>
          <w:b w:val="false"/>
          <w:i w:val="false"/>
          <w:color w:val="000000"/>
          <w:sz w:val="28"/>
        </w:rPr>
        <w:t>
      мемлекеттік органдарды Бірыңғай көлік ортасына қосу;</w:t>
      </w:r>
    </w:p>
    <w:p>
      <w:pPr>
        <w:spacing w:after="0"/>
        <w:ind w:left="0"/>
        <w:jc w:val="both"/>
      </w:pPr>
      <w:r>
        <w:rPr>
          <w:rFonts w:ascii="Times New Roman"/>
          <w:b w:val="false"/>
          <w:i w:val="false"/>
          <w:color w:val="000000"/>
          <w:sz w:val="28"/>
        </w:rPr>
        <w:t>
      5) денсаулық сақтау саласындағы қосымша білім беру бағдарламаларын басқаруға:</w:t>
      </w:r>
    </w:p>
    <w:p>
      <w:pPr>
        <w:spacing w:after="0"/>
        <w:ind w:left="0"/>
        <w:jc w:val="both"/>
      </w:pPr>
      <w:r>
        <w:rPr>
          <w:rFonts w:ascii="Times New Roman"/>
          <w:b w:val="false"/>
          <w:i w:val="false"/>
          <w:color w:val="000000"/>
          <w:sz w:val="28"/>
        </w:rPr>
        <w:t>
      қосымша білім беру бағдарламаларын тыңдаушылардың контингентіне сәйкес қосымша білім беру процесін басқаруды қамтамасыз ететін қажетті әкімшілік құрылымның және әкімшілік-басқару персоналының штатының болуы.".</w:t>
      </w:r>
    </w:p>
    <w:bookmarkStart w:name="z11" w:id="5"/>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6" w:id="10"/>
    <w:p>
      <w:pPr>
        <w:spacing w:after="0"/>
        <w:ind w:left="0"/>
        <w:jc w:val="both"/>
      </w:pPr>
      <w:r>
        <w:rPr>
          <w:rFonts w:ascii="Times New Roman"/>
          <w:b w:val="false"/>
          <w:i w:val="false"/>
          <w:color w:val="000000"/>
          <w:sz w:val="28"/>
        </w:rPr>
        <w:t xml:space="preserve">
      4. Осы бұйрық Қағидалардың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үкімі шыққан күннен кейін күнтізбелік алпыс күн өткен соң қолданысқа енгізіледі, ол күнтізбелік он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Денсаулық сақтау</w:t>
            </w:r>
          </w:p>
          <w:p>
            <w:pPr>
              <w:spacing w:after="20"/>
              <w:ind w:left="20"/>
              <w:jc w:val="both"/>
            </w:pPr>
          </w:p>
          <w:p>
            <w:pPr>
              <w:spacing w:after="20"/>
              <w:ind w:left="20"/>
              <w:jc w:val="both"/>
            </w:pP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Оқу-ағарту министрлігі</w:t>
            </w:r>
          </w:p>
          <w:p>
            <w:pPr>
              <w:spacing w:after="20"/>
              <w:ind w:left="20"/>
              <w:jc w:val="both"/>
            </w:pPr>
            <w:r>
              <w:rPr>
                <w:rFonts w:ascii="Times New Roman"/>
                <w:b/>
                <w:i w:val="false"/>
                <w:color w:val="000000"/>
                <w:sz w:val="20"/>
              </w:rPr>
              <w:t>2022 жылғы "____" 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p>
          <w:p>
            <w:pPr>
              <w:spacing w:after="20"/>
              <w:ind w:left="20"/>
              <w:jc w:val="both"/>
            </w:pPr>
            <w:r>
              <w:rPr>
                <w:rFonts w:ascii="Times New Roman"/>
                <w:b/>
                <w:i w:val="false"/>
                <w:color w:val="000000"/>
                <w:sz w:val="20"/>
              </w:rPr>
              <w:t>2022 жылғы "____" ________________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