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a9c7a" w14:textId="d1a9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шекарасы арқылы адамдарды, көлік құралдарын, жүктерді және тауарларды өткізу пункттерінде өткізуді ұйымдастырудың үлгілік схемаларын бекіту туралы" Қазақстан Республикасы Ұлттық қауіпсіздік комитеті Төрағасының 2013 жылғы 30 қарашадағы № 504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2022 жылғы 16 тамыздағы № 50/қе бұйрығы. Қазақстан Республикасының Әділет министрлігінде 2022 жылғы 17 тамызда № 29142 болып тіркелді. Күші жойылды - Қазақстан Республикасы Ұлттық қауіпсіздік комитеті Төрағасының 2024 жылғы 23 ақпандағы № 42/қе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23.02.2024 </w:t>
      </w:r>
      <w:r>
        <w:rPr>
          <w:rFonts w:ascii="Times New Roman"/>
          <w:b w:val="false"/>
          <w:i w:val="false"/>
          <w:color w:val="ff0000"/>
          <w:sz w:val="28"/>
        </w:rPr>
        <w:t>№ 42/қе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Мемлекеттік шекарасы арқылы адамдарды, көлік құралдарын, жүктерді және тауарларды өткізу пункттерінде өткізуді ұйымдастырудың үлгілік схемаларын бекіту туралы" Қазақстан Республикасы Ұлттық қауіпсіздік комитеті Төрағасының 2013 жылғы 30 қарашадағы № 504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9070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шекарасы арқылы адамдарды, көлік құралдарын, жүктерді және тауарларды әуе (авиациялық) өткізу пункттерінде өткізуді ұйымдастырудың үлгілік </w:t>
      </w:r>
      <w:r>
        <w:rPr>
          <w:rFonts w:ascii="Times New Roman"/>
          <w:b w:val="false"/>
          <w:i w:val="false"/>
          <w:color w:val="000000"/>
          <w:sz w:val="28"/>
        </w:rPr>
        <w:t>схемасында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Шекаралық наряд келген адамдардың мемлекеттік шекарадан өту құқығына арналған құжаттарын тексеруді аэровокзалдық кешендердегі паспорттық бақылау кабиналарында немесе арнайы жабдықталған жайларда жүзеге асырады. Әуе кемелері экипажы мен жолаушыларының, сондай-ақ әуе кемесінің бортына алып келген мүгедектігі бар адамдар мен ауыр науқастардың құжаттарын тексеру белгіленген орындарда немесе әуе кемесінің бортында (әуе кемесінің басқышында) жүзеге асырылады.</w:t>
      </w:r>
    </w:p>
    <w:p>
      <w:pPr>
        <w:spacing w:after="0"/>
        <w:ind w:left="0"/>
        <w:jc w:val="both"/>
      </w:pPr>
      <w:r>
        <w:rPr>
          <w:rFonts w:ascii="Times New Roman"/>
          <w:b w:val="false"/>
          <w:i w:val="false"/>
          <w:color w:val="000000"/>
          <w:sz w:val="28"/>
        </w:rPr>
        <w:t>
      Шекаралық бақылау бөлімшесі Мемлекеттік шекараны бір уақытта кесіп өтетін адамдардың санын ескере отырып, барынша көп паспорттық бақылау кабиналарының жұмысы істеуіне шара қолданады.";</w:t>
      </w:r>
    </w:p>
    <w:bookmarkStart w:name="z4" w:id="2"/>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1)-тармақшасы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"1) шекаралық наряд кететін адамдардың Қазақстан Республикасына кіруге құқық беретін құжаттарын тексеруді паспорттық бақылау кабиналарында, арнайы жабдықталған жайларда жүзеге асырады. Әуе кемелерінің экипажы мен жолаушыларының, сондай-ақ әуе кемесінің бортына алып келген мүгедектігі бар адамдар мен ауыр науқастардың құжаттарын тексеру белгіленген орындарда немесе әуе кемесінің бортында (әуе кемесінің басқышында) жүзеге асырылады;".</w:t>
      </w:r>
    </w:p>
    <w:bookmarkStart w:name="z5" w:id="3"/>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 мемлекеттік тіркелген күнінен кейін күнтізбелік он күн ішінде Қазақстан Республикасының Нормативтік құқықтық актілерінің эталондық бақылау банкіне ресми жариялануы және енгізу үшін оны Қазақстан Республикасы Әділет министрлігі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орынбасары – Шекара қызметінің директоры генерал-майор Е.Е. Алдажұмановқа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Индустрия және инфрақұрылымдық</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