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e114" w14:textId="552e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 мен Қазақстан Республикасының Мемлекеттік Елтаңбасын жасау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 50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26 шiлдедегi № 306-НҚ бұйрығы. Қазақстан Республикасының Әділет министрлігінде 2022 жылғы 27 шiлдеде № 28922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тізбесін бекіту туралы" Қазақстан Республикасы Инвестициялар және даму министрінің міндетін атқарушының 2015 жылғы 23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10381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Туы мен Қазақстан Республикасының Мемлекеттік Елтаңбасын дайындау жөніндегі қызметті жүзеге асыру үшін қойылатын біліктілік талаптары мен олардың сәйкестігін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реттік нөмірі 6-жол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23514 болып тіркелген) нысан бойынша шығарылатын өнімге СТ-KZ нысанындағы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берген ұйымның атауын, нөмірін және күнін көрсете отырып, СТ-KZ нысанының сертификаты туралы ақпаратты қамтитын мәліметтер нысаны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Мәдениет және спорт</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w:t>
            </w:r>
            <w:r>
              <w:rPr>
                <w:rFonts w:ascii="Times New Roman"/>
                <w:b/>
                <w:i w:val="false"/>
                <w:color w:val="000000"/>
                <w:sz w:val="20"/>
              </w:rPr>
              <w:t>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