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c6e" w14:textId="e940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19 шiлдедегi № 50 бұйрығы. Қазақстан Республикасының Әділет министрлігінде 2022 жылғы 20 шiлдеде № 28853 болып тіркелді. Күші жойылды - Қазақстан Республикасы Ұлттық экономика министрінің 2023 жылғы 31 шiлдедегi № 143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31.07.2023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Квазимемлекеттік сектордың сыртқы борышының шекті көлемін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Мемлекеттік жоспарлау жөніндегі орталық уәкілетті орган жоспарланатын жылдың алдындағы жылдың 1 желтоқсанына дейінгі мерзімде квазимемлекеттік сектор субъектісінің тиісті қаржы жылына арналған сыртқы борышының шекті көлемін бекітеді.".</w:t>
      </w:r>
    </w:p>
    <w:bookmarkEnd w:id="3"/>
    <w:bookmarkStart w:name="z7" w:id="4"/>
    <w:p>
      <w:pPr>
        <w:spacing w:after="0"/>
        <w:ind w:left="0"/>
        <w:jc w:val="both"/>
      </w:pPr>
      <w:r>
        <w:rPr>
          <w:rFonts w:ascii="Times New Roman"/>
          <w:b w:val="false"/>
          <w:i w:val="false"/>
          <w:color w:val="000000"/>
          <w:sz w:val="28"/>
        </w:rPr>
        <w:t>
      2. Мемлекет міндеттемелерін басқару және қаржы секторын дамыту саясаты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