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d77f" w14:textId="db5d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"Жүзеге асыратын міндеттерді орындау үшін қажетті және жеткілікті дербес деректердің тізбесін бекіту туралы" Қазақстан Республикасы Дін істері және азаматтық қоғам министрінің 2017 жылғы 6 маусымдағы № 88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28 маусымдағы № 220 бұйрығы. Қазақстан Республикасының Әділет министрлігінде 2022 жылғы 30 маусымда № 28655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"Жүзеге асыратын міндеттерді орындау үшін қажетті және жеткілікті дербес деректердің тізбесін бекіту туралы" Қазақстан Республикасы Дін істері және азаматтық қоғам министрінің 2017 жылғы 6 маусымдағы № 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15321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Жүзеге асыратын міндеттерді орындау үшін қажетті және жеткілікті дербес деректердің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Кадр және әкімшілік жұмыс департаменті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Ақпарат және қоғамдық даму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Ақпарат және қоғамдық даму министрлігінің аппарат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Жүзеге асыратын міндеттерді орындау үшін қажетті және жеткілікті дербес деректердің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Міндеттің, оның ішінде функциялардың, өкілеттіктердің, міндеттердің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міндет шеңберінде жинау және өңдеу мақсаттары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мақсатқа арналған дербес деректердің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 және (немесе) оператор жүзеге асыратын міндеттерге тікелей нұсқаулары бар құжаттарды немесе нормативтік құқықтық актілерді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кадр құрамын қалыптастыру және конкурстық іріктеуді ұйымдастыру;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мемлекеттік қызметті өткеруіне байланысты құжаттарды ресімдеу;, конкурстық, тәртіптік және кадр мәселелері жөніндегі өзге де комиссиялардың қызметін ұйымдастыру және қамтамасыз ету: мемлекеттік қызметке кіру, мемлекеттік қызметті өткеру және тоқтату рәсімдерін сақтаудықамтамасыз 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 кәсіби бейімделу мен тәлімгерлікті ұйымдастыру;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кадрларының кәсіби дамуын, оның ішінде мемлекеттік қызметшілерді тағылымдамалардан өткізуді, даярлауды, қайта даярлауды, біліктілігін арттыруды ұйымдастыру арқылы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тергеп-тексеру,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қызметіне, , оның ішінде мемлекеттік қызмет персоналы бойынша бірыңғай автоматтандырылған дерекқорда (ақпараттық жүйеде) бағалау жүргізуді ұйымдастыру;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 еңбек заңнамасының орындалуын қамтамасыз ету, еңбек режимі мен жағдайларының сақталуын, сондай-ақ мемлекеттік қызметте болуға байланысты шектеулердің сақталуын қамтамасыз ету; мемлекеттік қызметшілердің әлеуметтік және құқықтық қорғалуын қамтамасыз ету, мемлекеттік қызметшілерді көтермелеуді қолдану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персоналын басқарудың тұтас жүйесін қалыптастыру, мемлекеттік органның персоналын басқарудың тұтас жүйесі шеңберінде мемлекеттік қызмет өткеруді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"Мемлекеттік қызметшілерді даярлау, қайта даярлау және олардың біліктілігін арттыру қағидаларын, мемлекеттік қызметшілердің біліктілігін арттыруды жүзеге асыратын білім беру ұйымдарына қойылатын талаптарды бекіту туралы" Қазақстан Республикасы Үкіметінің 2018 жылғы 15 наурыздағы №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"Мемлекеттік қызмет өткерудің кейбір мәселелері туралы" Қазақстан Республикасы Президентінің 2015 жылғы 29 желтоқсандағы № 152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"Сынақ мерзімінен өтудің қағидалары мен шарттарын және тәлімгерлерді бекітудің тәртібін бекіту туралы" Қазақстан Республикасы Мемлекеттік қызмет істері және сыбайлас жемқорлыққа қарсы іс-қимыл агенттігі Төрағасының 2016 жылғы 21 қазандағы №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14448 болып тіркелген), "Әкімшілік мемлекеттік қызметтің кадрлық іс қағаздарын жүргізу құжаттарының үлгілік нысандарын бекіту туралы""Қазақстан Республикасы Мемлекеттік қызмет істері және сыбайлас жемқорлыққа қарсы іс-қимыл агенттігі Төрағасының 2016 жылғы 28 қазандағы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 (Нормативтік құқықтық актілерді мемлекеттік тіркеу тізілімінде № 14468 болып тіркелген), "Мемлекеттік әкімшілік қызметшілердің тағылымдама қағидаларын бекіту туралы" Қазақстан Республикасы Мемлекеттік қызмет істері және сыбайлас жемқорлыққа қарсы іс- қимыл агенттігі Төрағасының 2017 жылғы 20 қаңтардағы №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14819 болып тіркелген) (нормативтік құқықтық актілерді мемлекеттік тіркеу тізілімінде № 14819 болып тіркелген),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 Төрағасының 2018 жылғы 16 қаңтардағы №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16299 болып тіркелген)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Тегін, атын, әкесінің атын (бар болса) ауыстыру туралы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туралы мәліметтер: туған күні, туған жері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құжаттың деректері: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туралы деректер: азаматтығы (бұрынғы азаматтығы);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 негіздері;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жоғалтқан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жоғалту негіздері;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 келтіру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 келтіру негіздері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 (жұмыс, үй, ұялы телефон нөмірлері)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Портреттік бейнесі (цифрланған фотосуреті)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(оның ішінде электрондық- цифрлық қолтаңбасы (бар болса)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Білімі, біліктілігі туралы және арнайы білімінің немесе арнайы даярлығының болуы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орнына түскен күні (оқу орнынан шығарылған күні);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 бітіргені туралы дипломның, куәліктің, аттестаттың немесе басқа құжаттың сериясы, нөмірі, берілген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мекемесінің атауы және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немесе бөлімше, білім беру мекемесін бітіргеннен кейінгі біліктілігі мен мамандығы;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ғылыми, атағы;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тілдерін білуі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тексеру нәтижелері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Соттылықтың болуы (болмауы) туралы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ант қабылдаған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және мүлік бойынша декларацияны тапсырғаны туралы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кітапшасының мәліметтері: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 туралы мәліметтер (ағымдағы уақытқа арналған еңбек қызметі туралы деректер):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лауазымды, құрылымдық бөлімшені, ұйымды толық көрсету, оның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үздіксіз жұмыс өтілі;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атқарған лауазымдарының толық атауы және осы ұйымдардағы жұмыс уақыты көрсетілген басқа ұйымдардың мекенжайлары мен телефондары, сондай-ақ деректемелері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ведомстволық наградалар, грамоталар, алғыс хаттар туралы мәліметтер;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награданың атауы немесе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наградтау туралы нормативтік актінің күні мен түрі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және қайта даярлау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немесе қайта даярлау туралы құжаттың сериясы, нөмірі, берілген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мекемесінің атауы және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 бітірген кездегі біліктілігі мен мамандығы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қызметін бағалау нәтижелері туралы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міндетті адамдарды және әскери қызметке шақырылуға жататын адамдарды әскери есепке алу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билеттің сериясы, нөмірі, берілген (тапсырылған)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билетті берген органның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әскери-есептік мамандық;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атағы;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алу/шығару туралы деректер;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қызметтен босату негізі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жағдайы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некедегі жағдайы;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 туралы куәліктің деректері;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 куәліктің деректері;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жағдайда), ерлі-зайыптылар;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жұбайының жеке басын куәландыратын құжаттың деректері;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отбасының басқа мүшелерінің, асырауындағы адамдардың тегі, аты, әкесінің аты (бар болса) және туған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(оның ішінде асырап алынған, қамқорлықтағы балалардың) болуы және олардың жасы;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туу туралы куәлігінің деректері;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туыстарының қайтыс болуы туралы куәліктің деректері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жеңілдіктер мен әлеуметтік мәртебесі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мен мәртебе беру үшін негіз болып табылатын құжатты берген органның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сериясы, нөмірі, берілген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мүгедектіктің себебі, мүгедектік тобы;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сынақ полигонындағы ядролық сынақтардың салдарынан зардап шеккен адамға берілетін жеңілдіктерге құқықты растайтын куәлік;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өңіріндегі экологиялық қасірет салдарынан зардап шеккен адамға жеңілдіктер алу құқығын растайтын куәлік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санаты;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тобының коды;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мүгедектіктің себебі;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 белгілеу күні, белгілеу 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қорытындылардың нәтижелері туралы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Тәртіптік/әкімшілік жаза қолдану туралы (оның ішінде мемлекеттік қызметке кір келтіретін сыбайлас жемқорлық құқық бұзушылық жасағаны үшін), мемлекеттік лауазымдарды атқаруға тыйым салу туралы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