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6b3d" w14:textId="b846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22 маусымдағы № 44 қаулысы. Қазақстан Республикасының Әділет министрлігінде 2022 жылғы 29 маусымда № 28637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келесі өзгеріс бекітілсін: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w:t>
      </w:r>
      <w:r>
        <w:rPr>
          <w:rFonts w:ascii="Times New Roman"/>
          <w:b w:val="false"/>
          <w:i w:val="false"/>
          <w:color w:val="000000"/>
          <w:sz w:val="28"/>
        </w:rPr>
        <w:t>мөлшерінде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5-қосымшасы</w:t>
      </w:r>
      <w:r>
        <w:rPr>
          <w:rFonts w:ascii="Times New Roman"/>
          <w:b w:val="false"/>
          <w:i w:val="false"/>
          <w:color w:val="000000"/>
          <w:sz w:val="28"/>
        </w:rPr>
        <w:t xml:space="preserve"> осы қаулысының </w:t>
      </w:r>
      <w:r>
        <w:rPr>
          <w:rFonts w:ascii="Times New Roman"/>
          <w:b w:val="false"/>
          <w:i w:val="false"/>
          <w:color w:val="000000"/>
          <w:sz w:val="28"/>
        </w:rPr>
        <w:t>қосымшасының</w:t>
      </w:r>
      <w:r>
        <w:rPr>
          <w:rFonts w:ascii="Times New Roman"/>
          <w:b w:val="false"/>
          <w:i w:val="false"/>
          <w:color w:val="000000"/>
          <w:sz w:val="28"/>
        </w:rPr>
        <w:t xml:space="preserve"> редакциясымен мазмұндалсын.</w:t>
      </w:r>
    </w:p>
    <w:bookmarkStart w:name="z5" w:id="3"/>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8"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22 маусымдағы</w:t>
            </w:r>
            <w:r>
              <w:br/>
            </w:r>
            <w:r>
              <w:rPr>
                <w:rFonts w:ascii="Times New Roman"/>
                <w:b w:val="false"/>
                <w:i w:val="false"/>
                <w:color w:val="000000"/>
                <w:sz w:val="20"/>
              </w:rPr>
              <w:t>№ 44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пруденциялық</w:t>
            </w:r>
            <w:r>
              <w:br/>
            </w:r>
            <w:r>
              <w:rPr>
                <w:rFonts w:ascii="Times New Roman"/>
                <w:b w:val="false"/>
                <w:i w:val="false"/>
                <w:color w:val="000000"/>
                <w:sz w:val="20"/>
              </w:rPr>
              <w:t>нормативтерінің және сақталуы</w:t>
            </w:r>
            <w:r>
              <w:br/>
            </w:r>
            <w:r>
              <w:rPr>
                <w:rFonts w:ascii="Times New Roman"/>
                <w:b w:val="false"/>
                <w:i w:val="false"/>
                <w:color w:val="000000"/>
                <w:sz w:val="20"/>
              </w:rPr>
              <w:t>міндетті өзге де нормалары мен</w:t>
            </w:r>
            <w:r>
              <w:br/>
            </w:r>
            <w:r>
              <w:rPr>
                <w:rFonts w:ascii="Times New Roman"/>
                <w:b w:val="false"/>
                <w:i w:val="false"/>
                <w:color w:val="000000"/>
                <w:sz w:val="20"/>
              </w:rPr>
              <w:t xml:space="preserve">лимиттерінің нормативтік </w:t>
            </w:r>
            <w:r>
              <w:br/>
            </w:r>
            <w:r>
              <w:rPr>
                <w:rFonts w:ascii="Times New Roman"/>
                <w:b w:val="false"/>
                <w:i w:val="false"/>
                <w:color w:val="000000"/>
                <w:sz w:val="20"/>
              </w:rPr>
              <w:t xml:space="preserve">мәндері мен оларды есептеу </w:t>
            </w:r>
            <w:r>
              <w:br/>
            </w:r>
            <w:r>
              <w:rPr>
                <w:rFonts w:ascii="Times New Roman"/>
                <w:b w:val="false"/>
                <w:i w:val="false"/>
                <w:color w:val="000000"/>
                <w:sz w:val="20"/>
              </w:rPr>
              <w:t xml:space="preserve">әдістемелеріне, капиталының </w:t>
            </w:r>
            <w:r>
              <w:br/>
            </w:r>
            <w:r>
              <w:rPr>
                <w:rFonts w:ascii="Times New Roman"/>
                <w:b w:val="false"/>
                <w:i w:val="false"/>
                <w:color w:val="000000"/>
                <w:sz w:val="20"/>
              </w:rPr>
              <w:t>мөлшеріне</w:t>
            </w:r>
            <w:r>
              <w:br/>
            </w:r>
            <w:r>
              <w:rPr>
                <w:rFonts w:ascii="Times New Roman"/>
                <w:b w:val="false"/>
                <w:i w:val="false"/>
                <w:color w:val="000000"/>
                <w:sz w:val="20"/>
              </w:rPr>
              <w:t>5-қосымша</w:t>
            </w:r>
          </w:p>
        </w:tc>
      </w:tr>
    </w:tbl>
    <w:bookmarkStart w:name="z13" w:id="9"/>
    <w:p>
      <w:pPr>
        <w:spacing w:after="0"/>
        <w:ind w:left="0"/>
        <w:jc w:val="left"/>
      </w:pPr>
      <w:r>
        <w:rPr>
          <w:rFonts w:ascii="Times New Roman"/>
          <w:b/>
          <w:i w:val="false"/>
          <w:color w:val="000000"/>
        </w:rPr>
        <w:t xml:space="preserve"> Салымдардың кредиттік тәуекел дәрежесі бойынша мөлшерленген банк активтерінің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валютасымен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органдарының салықтар мен бюджетке төленетін басқа да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рыногы туралы заңнамасына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сондай-ақ Еуразиялық Даму Банкі шығарған және Қазақстан Республикасының ұлттық валютасымен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Банкке тиесілі заңды тұлға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төмен емес ұзақ мерзімді рейтингі немесе басқа рейтингтік агенттіктердің бірінің осыған ұқсас деңгейдегі рейтингі бар банктерге ашық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"AА-"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жергілікті атқарушы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жергілікті атқарушы органдары шығарған мемлекеттік бағалы қағаздарын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"ААА"-тен "АА-"-ке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"kzAAA"-тен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(осы кестенің 77, 79 және 80 -жолдарында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Ұлттық Банкке тиесілі заңды тұлғаның сатып алу үшін белгіленген талаптарына сәйкес келетін ипотекалық тұрғын үй қарыздары, сондай-ақ олар бойынша сыйақылар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(жүз) пайызы Қазақстан Республикасының Ұлттық Банкке тиесілі заңды тұлғаға қайта берілген ипотекалық тұрғын үй қарыздары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(осы кестенің 77, 79 және 80 -жолдарында көрсетілген жеке тұлғаларға берілген қарыздарды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77, 79 және 80 - 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78, 79 және 80 -жолдарында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78, 79 және 80-жолдарында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қарыздар (ипотекалық тұрғын үй қарыздарын және осы кестенің 76, 77, 78, 79 және 80-жолдарында көрсетілген, сондай-ақ жеке тұлғаларға берілген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p>
            <w:pPr>
              <w:spacing w:after="20"/>
              <w:ind w:left="20"/>
              <w:jc w:val="both"/>
            </w:pPr>
            <w:r>
              <w:rPr>
                <w:rFonts w:ascii="Times New Roman"/>
                <w:b w:val="false"/>
                <w:i w:val="false"/>
                <w:color w:val="000000"/>
                <w:sz w:val="20"/>
              </w:rPr>
              <w:t>
1) 2022 жылғы 1 қаңтардан 2022 жылғы 30 маусым аралығы кезеңінде - қарыз сомасы меншікті капиталдың 0,2 (нөл бүтін оннан екі) пайызынан аспайды;</w:t>
            </w:r>
          </w:p>
          <w:p>
            <w:pPr>
              <w:spacing w:after="20"/>
              <w:ind w:left="20"/>
              <w:jc w:val="both"/>
            </w:pPr>
            <w:r>
              <w:rPr>
                <w:rFonts w:ascii="Times New Roman"/>
                <w:b w:val="false"/>
                <w:i w:val="false"/>
                <w:color w:val="000000"/>
                <w:sz w:val="20"/>
              </w:rPr>
              <w:t>
2022 жылғы 1 шілдеден бастап - қарыз сомасы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қаңтардан 2022 жылғы 30 маусым аралығын қоса алғанда - 50</w:t>
            </w:r>
          </w:p>
          <w:p>
            <w:pPr>
              <w:spacing w:after="20"/>
              <w:ind w:left="20"/>
              <w:jc w:val="both"/>
            </w:pPr>
            <w:r>
              <w:rPr>
                <w:rFonts w:ascii="Times New Roman"/>
                <w:b w:val="false"/>
                <w:i w:val="false"/>
                <w:color w:val="000000"/>
                <w:sz w:val="20"/>
              </w:rPr>
              <w:t>
2022 жылғы 1 шілдеден бастап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Синдикатталған қаржыландыру шеңберінде заңды тұлғаларға теңгемен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шілдеден 2021 жылғы 31 желтоқсан аралығын қоса алғанда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"А+"-дан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"А+"-дан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"А"+-тан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"Қазақстан қор биржасы" акционерлік қоғамының ресми тізімінің "негізгі" немесе "баламалы" алаңының "борыштық бағалы қағаздар" секторына енгізілген, "ДАМУ" кәсіпкерлікті дамыту қоры" акционерлік қоғамының және (немесе) "Қазақстанның Даму Банкі" акционерлік қоғамының кепілдігі бар, сомасы осы бағалы қағаздардың номиналды құнының кемінде 50 (елу) пайызын жабатын және мынадай өлшемшарттарға сәйкес келетін бағалы қағаздар:</w:t>
            </w:r>
          </w:p>
          <w:p>
            <w:pPr>
              <w:spacing w:after="20"/>
              <w:ind w:left="20"/>
              <w:jc w:val="both"/>
            </w:pPr>
            <w:r>
              <w:rPr>
                <w:rFonts w:ascii="Times New Roman"/>
                <w:b w:val="false"/>
                <w:i w:val="false"/>
                <w:color w:val="000000"/>
                <w:sz w:val="20"/>
              </w:rPr>
              <w:t>
1) эмитенттің бір бағалы қағаздар шығарылымына салынған инвестициялар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шығарылымының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енгізілген активтер бойынша есептелген сыйақы (осы кестенің 49 және 50-жолдарында көрсетілген активтер бойынша есептелген сыйақыны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резидент ұйымдарға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тиісті хеджирлеу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жеке тұлғаларға 2016 жылғы 1 қаңтарға дейін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өтелмеген жеке тұлғаларға 2016 жылғы 1 қаңтардан бастап берілген және шетел валютасында 1 (бір) жылдан астам мерзімге берілген қарыздар, оның ішінде тұтынушылық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есептейтін төмендегі өлшемшарттардың біріне сәйкес келетін жеке тұлғаларға 2016 жылғы 1 қаңтар - 2019 жылғы 31 желтоқсан аралығында берілген қамтамасыз етілмеген қарыздар, оның ішінде тұтынушылық қарыздар:</w:t>
            </w:r>
          </w:p>
          <w:p>
            <w:pPr>
              <w:spacing w:after="20"/>
              <w:ind w:left="20"/>
              <w:jc w:val="both"/>
            </w:pPr>
            <w:r>
              <w:rPr>
                <w:rFonts w:ascii="Times New Roman"/>
                <w:b w:val="false"/>
                <w:i w:val="false"/>
                <w:color w:val="000000"/>
                <w:sz w:val="20"/>
              </w:rPr>
              <w:t>
2017 жылғы 1 қаңтар - 2019 жылғы 31 желтоқсан аралығында ай сайын қарыздарды мониторингтеу кезінде:</w:t>
            </w:r>
          </w:p>
          <w:p>
            <w:pPr>
              <w:spacing w:after="20"/>
              <w:ind w:left="20"/>
              <w:jc w:val="both"/>
            </w:pPr>
            <w:r>
              <w:rPr>
                <w:rFonts w:ascii="Times New Roman"/>
                <w:b w:val="false"/>
                <w:i w:val="false"/>
                <w:color w:val="000000"/>
                <w:sz w:val="20"/>
              </w:rPr>
              <w:t xml:space="preserve">
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w:t>
            </w:r>
            <w:r>
              <w:rPr>
                <w:rFonts w:ascii="Times New Roman"/>
                <w:b w:val="false"/>
                <w:i w:val="false"/>
                <w:color w:val="000000"/>
                <w:sz w:val="20"/>
              </w:rPr>
              <w:t>қаулысымен</w:t>
            </w:r>
            <w:r>
              <w:rPr>
                <w:rFonts w:ascii="Times New Roman"/>
                <w:b w:val="false"/>
                <w:i w:val="false"/>
                <w:color w:val="000000"/>
                <w:sz w:val="20"/>
              </w:rPr>
              <w:t xml:space="preserve">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мөлшерінің 9-тарауына сәйкес есептелген қарыз алушының борыштық жүктемесі коэффициентінің деңгейі 0,35 асады;</w:t>
            </w:r>
          </w:p>
          <w:p>
            <w:pPr>
              <w:spacing w:after="20"/>
              <w:ind w:left="20"/>
              <w:jc w:val="both"/>
            </w:pPr>
            <w:r>
              <w:rPr>
                <w:rFonts w:ascii="Times New Roman"/>
                <w:b w:val="false"/>
                <w:i w:val="false"/>
                <w:color w:val="000000"/>
                <w:sz w:val="20"/>
              </w:rPr>
              <w:t>
2) 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pPr>
              <w:spacing w:after="20"/>
              <w:ind w:left="20"/>
              <w:jc w:val="both"/>
            </w:pPr>
            <w:r>
              <w:rPr>
                <w:rFonts w:ascii="Times New Roman"/>
                <w:b w:val="false"/>
                <w:i w:val="false"/>
                <w:color w:val="000000"/>
                <w:sz w:val="20"/>
              </w:rPr>
              <w:t>
3) қарыздарды ай сайынғы мониторингтеу кезінде осы жолдың 1) немесе 2) тармақшасында көрсетілген есептеуге арналған ақпарат жоқ.</w:t>
            </w:r>
          </w:p>
          <w:p>
            <w:pPr>
              <w:spacing w:after="20"/>
              <w:ind w:left="20"/>
              <w:jc w:val="both"/>
            </w:pPr>
            <w:r>
              <w:rPr>
                <w:rFonts w:ascii="Times New Roman"/>
                <w:b w:val="false"/>
                <w:i w:val="false"/>
                <w:color w:val="000000"/>
                <w:sz w:val="20"/>
              </w:rPr>
              <w:t>
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жеке тұлғаларға берілген басқа да қарыздар, оның ішінде тұтынушылық қарыздар (осы кестенің 79-жолында көрсетілген жеке тұлғаларға берілген ипотекалық тұрғын үй қарыздарын, қарыздарды және Нормативтерге 5-1-қосымшада көрсетілген кепілсіз тұтынушылық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 агенттіктерінің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"ВВ-"-ке дейінгі борыштық рейтингі немесе басқа рейтинг агенттіктерінің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активтер қоры" акционерлік қоғамының арнайы қаржы компаниясы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"ВВ+"-дан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халықаралық қаржылық есептілік стандартына сәйкес жасаған кезде қаржылық есептілігі шоғырландырылатын заңды тұлғалардың акцияларына (жарғылық капиталдағы қатысу үлесіне), мерзімсіз қаржы құралдарына, реттелген борышына банктің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үлестерінің) 10 (оннан) кем пайызын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акциялардың (жарғылық капиталға қатысу үлестерінің) 10 (он) және одан көп пайызы және Нормативтердің 10-тармағында көрсетілген реттеуіш түзетулер қолданылғаннан кейін банктің негізгі капиталы айырмасының және Нормативтердің 11-тармағының үшінші, төртінші және бесінші абзацтарында көрсетілген негізгі капиталдан шегерілуі тиіс соманың жиынтығында 17,65 (он жеті бүтін жүзден алпыс бес) пайызынан аспайтын шегерілетін уақыт айырмаларына қатысты танылған кейінге қалдырылған салық активтерінің бөлігі бар қаржы ұйымының жай акцияларына банктің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Қазақстан Республикасының бейрезидент ұйымдарына 2016 жылғы 1 қаңтардан бастап берілген және шетел валютасында 1 (бір) жылдан астам мерзімге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тұлғаларға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Мальдивия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Андорра Князьдігі;</w:t>
            </w:r>
          </w:p>
          <w:p>
            <w:pPr>
              <w:spacing w:after="20"/>
              <w:ind w:left="20"/>
              <w:jc w:val="both"/>
            </w:pPr>
            <w:r>
              <w:rPr>
                <w:rFonts w:ascii="Times New Roman"/>
                <w:b w:val="false"/>
                <w:i w:val="false"/>
                <w:color w:val="000000"/>
                <w:sz w:val="20"/>
              </w:rPr>
              <w:t>
2) Америка Құрама Штаттары (Американдық Виргин аралдарының, Гуам аралының және Пуэрто-Рико Достастығы аумақтары бөлігінде ғана);</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бөлігінде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Малайзия (Лабуан анклавының аумағы бөлігінде ғана);</w:t>
            </w:r>
          </w:p>
          <w:p>
            <w:pPr>
              <w:spacing w:after="20"/>
              <w:ind w:left="20"/>
              <w:jc w:val="both"/>
            </w:pPr>
            <w:r>
              <w:rPr>
                <w:rFonts w:ascii="Times New Roman"/>
                <w:b w:val="false"/>
                <w:i w:val="false"/>
                <w:color w:val="000000"/>
                <w:sz w:val="20"/>
              </w:rPr>
              <w:t>
25) Маврикий Республикасы;</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33) Нигерия Федеративтік Республикасы;</w:t>
            </w:r>
          </w:p>
          <w:p>
            <w:pPr>
              <w:spacing w:after="20"/>
              <w:ind w:left="20"/>
              <w:jc w:val="both"/>
            </w:pPr>
            <w:r>
              <w:rPr>
                <w:rFonts w:ascii="Times New Roman"/>
                <w:b w:val="false"/>
                <w:i w:val="false"/>
                <w:color w:val="000000"/>
                <w:sz w:val="20"/>
              </w:rPr>
              <w:t>
34) Португалия (Мадейра аралдарының аумағы бөлігінде ғана);</w:t>
            </w:r>
          </w:p>
          <w:p>
            <w:pPr>
              <w:spacing w:after="20"/>
              <w:ind w:left="20"/>
              <w:jc w:val="both"/>
            </w:pPr>
            <w:r>
              <w:rPr>
                <w:rFonts w:ascii="Times New Roman"/>
                <w:b w:val="false"/>
                <w:i w:val="false"/>
                <w:color w:val="000000"/>
                <w:sz w:val="20"/>
              </w:rPr>
              <w:t>
35) Палау Республикасы;</w:t>
            </w:r>
          </w:p>
          <w:p>
            <w:pPr>
              <w:spacing w:after="20"/>
              <w:ind w:left="20"/>
              <w:jc w:val="both"/>
            </w:pPr>
            <w:r>
              <w:rPr>
                <w:rFonts w:ascii="Times New Roman"/>
                <w:b w:val="false"/>
                <w:i w:val="false"/>
                <w:color w:val="000000"/>
                <w:sz w:val="20"/>
              </w:rPr>
              <w:t>
36) Панама Республикасы;</w:t>
            </w:r>
          </w:p>
          <w:p>
            <w:pPr>
              <w:spacing w:after="20"/>
              <w:ind w:left="20"/>
              <w:jc w:val="both"/>
            </w:pPr>
            <w:r>
              <w:rPr>
                <w:rFonts w:ascii="Times New Roman"/>
                <w:b w:val="false"/>
                <w:i w:val="false"/>
                <w:color w:val="000000"/>
                <w:sz w:val="20"/>
              </w:rPr>
              <w:t>
37) Самоа Тәуелсіз мемлекеті;</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мемлекеті;</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баланста ұстап тұратын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тәуекелдер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 тәуекел</w:t>
            </w:r>
            <w:r>
              <w:br/>
            </w:r>
            <w:r>
              <w:rPr>
                <w:rFonts w:ascii="Times New Roman"/>
                <w:b w:val="false"/>
                <w:i w:val="false"/>
                <w:color w:val="000000"/>
                <w:sz w:val="20"/>
              </w:rPr>
              <w:t xml:space="preserve">дәрежесi бойынша </w:t>
            </w:r>
            <w:r>
              <w:br/>
            </w:r>
            <w:r>
              <w:rPr>
                <w:rFonts w:ascii="Times New Roman"/>
                <w:b w:val="false"/>
                <w:i w:val="false"/>
                <w:color w:val="000000"/>
                <w:sz w:val="20"/>
              </w:rPr>
              <w:t xml:space="preserve">мөлшерленген банк </w:t>
            </w:r>
            <w:r>
              <w:br/>
            </w:r>
            <w:r>
              <w:rPr>
                <w:rFonts w:ascii="Times New Roman"/>
                <w:b w:val="false"/>
                <w:i w:val="false"/>
                <w:color w:val="000000"/>
                <w:sz w:val="20"/>
              </w:rPr>
              <w:t>активтерiнiң кестесiне</w:t>
            </w:r>
            <w:r>
              <w:br/>
            </w:r>
            <w:r>
              <w:rPr>
                <w:rFonts w:ascii="Times New Roman"/>
                <w:b w:val="false"/>
                <w:i w:val="false"/>
                <w:color w:val="000000"/>
                <w:sz w:val="20"/>
              </w:rPr>
              <w:t>қосымша</w:t>
            </w:r>
          </w:p>
        </w:tc>
      </w:tr>
    </w:tbl>
    <w:bookmarkStart w:name="z15" w:id="10"/>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банк активтерінің есебіне түсіндірме</w:t>
      </w:r>
    </w:p>
    <w:bookmarkEnd w:id="10"/>
    <w:bookmarkStart w:name="z16" w:id="11"/>
    <w:p>
      <w:pPr>
        <w:spacing w:after="0"/>
        <w:ind w:left="0"/>
        <w:jc w:val="both"/>
      </w:pPr>
      <w:r>
        <w:rPr>
          <w:rFonts w:ascii="Times New Roman"/>
          <w:b w:val="false"/>
          <w:i w:val="false"/>
          <w:color w:val="000000"/>
          <w:sz w:val="28"/>
        </w:rPr>
        <w:t>
      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банк активтері кестесінің (бұдан әрі - Кесте) 1, 2, 3, 10, 11, 12, 15, 16, 17, 18, 19 және 20-жолдарында көрсетілген активтер түріндегі)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11"/>
    <w:p>
      <w:pPr>
        <w:spacing w:after="0"/>
        <w:ind w:left="0"/>
        <w:jc w:val="both"/>
      </w:pPr>
      <w:r>
        <w:rPr>
          <w:rFonts w:ascii="Times New Roman"/>
          <w:b w:val="false"/>
          <w:i w:val="false"/>
          <w:color w:val="000000"/>
          <w:sz w:val="28"/>
        </w:rPr>
        <w:t>
      Түзетілген қамтамасыз ету құны (Кестенің 1, 2, 3, 10, 11, 12, 15, 16, 17, 18, 19 және 20-жолдарында көрсетілген активтер түріндегі) мыналарға:</w:t>
      </w:r>
    </w:p>
    <w:p>
      <w:pPr>
        <w:spacing w:after="0"/>
        <w:ind w:left="0"/>
        <w:jc w:val="both"/>
      </w:pPr>
      <w:r>
        <w:rPr>
          <w:rFonts w:ascii="Times New Roman"/>
          <w:b w:val="false"/>
          <w:i w:val="false"/>
          <w:color w:val="000000"/>
          <w:sz w:val="28"/>
        </w:rPr>
        <w:t>
      салымдар сомасының 100 (жүз) пайызына, оның ішінде осы банктегі қамтамасыз ету ретінде ұсынылғандары;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Start w:name="z17" w:id="12"/>
    <w:p>
      <w:pPr>
        <w:spacing w:after="0"/>
        <w:ind w:left="0"/>
        <w:jc w:val="both"/>
      </w:pPr>
      <w:r>
        <w:rPr>
          <w:rFonts w:ascii="Times New Roman"/>
          <w:b w:val="false"/>
          <w:i w:val="false"/>
          <w:color w:val="000000"/>
          <w:sz w:val="28"/>
        </w:rPr>
        <w:t>
      2. Банкте "Самұрық-Қазына" ұлттық әл-ауқат қоры" және "Бәйтерек" ұлттық басқарушы холдингі" акционерлік қоғамдарының қайтарып алынбайтын және сөзсіз кепілдігі, экспортты қолдау жөніндегі функцияны жүзеге асыратын және Қазақстан Республикасы Үкіметінің мемлекеттік кепілдігі бар ұлттық компаниямен жасалған сақтандыру төлемі бойынша міндеттемелерді сөзсіз және қайтарып алынбайтын орындау туралы тармақтарды қамтитын сақтандыру шарты түрінде қамтамасыз етуі бар, сомасы көрсетілген қарыздар көлемінің кемінде 50 (елу) пайызын жабатын қарыздар қамтамасыз етудің түзетілген құны шегеріле отырып тәуекел дәрежесі бойынша мөлшерленген активтердің есебіне енгізіледі.</w:t>
      </w:r>
    </w:p>
    <w:bookmarkEnd w:id="12"/>
    <w:p>
      <w:pPr>
        <w:spacing w:after="0"/>
        <w:ind w:left="0"/>
        <w:jc w:val="both"/>
      </w:pPr>
      <w:r>
        <w:rPr>
          <w:rFonts w:ascii="Times New Roman"/>
          <w:b w:val="false"/>
          <w:i w:val="false"/>
          <w:color w:val="000000"/>
          <w:sz w:val="28"/>
        </w:rPr>
        <w:t>
      "Самұрық-Қазына" ұлттық әл-ауқат қоры", "Бәйтерек" ұлттық басқарушы холдингі" акционерлік қоғамдарының кепілдігі,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шарты түріндегі қамтамасыз етудің түзетілген құны кепілдік, сақтандыру шарты сомасының 95 (тоқсан бес) пайызына тең болады.</w:t>
      </w:r>
    </w:p>
    <w:bookmarkStart w:name="z18" w:id="13"/>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13"/>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Start w:name="z19" w:id="14"/>
    <w:p>
      <w:pPr>
        <w:spacing w:after="0"/>
        <w:ind w:left="0"/>
        <w:jc w:val="both"/>
      </w:pPr>
      <w:r>
        <w:rPr>
          <w:rFonts w:ascii="Times New Roman"/>
          <w:b w:val="false"/>
          <w:i w:val="false"/>
          <w:color w:val="000000"/>
          <w:sz w:val="28"/>
        </w:rPr>
        <w:t>
      4. Салымдардың кредиттік тәуекел дәрежесі бойынша мөлшерленуге тиіс банк активтерінің есебіне осы Түсіндірменің (бұдан әрі - Түсіндірме) 1-тармағында көрсетілген, мынадай:</w:t>
      </w:r>
    </w:p>
    <w:bookmarkEnd w:id="14"/>
    <w:bookmarkStart w:name="z20" w:id="15"/>
    <w:p>
      <w:pPr>
        <w:spacing w:after="0"/>
        <w:ind w:left="0"/>
        <w:jc w:val="both"/>
      </w:pPr>
      <w:r>
        <w:rPr>
          <w:rFonts w:ascii="Times New Roman"/>
          <w:b w:val="false"/>
          <w:i w:val="false"/>
          <w:color w:val="000000"/>
          <w:sz w:val="28"/>
        </w:rPr>
        <w:t>
      1) офшорлық аймақтар аумағында заңды тұлға ретінде тіркелген;</w:t>
      </w:r>
    </w:p>
    <w:bookmarkEnd w:id="15"/>
    <w:bookmarkStart w:name="z21" w:id="16"/>
    <w:p>
      <w:pPr>
        <w:spacing w:after="0"/>
        <w:ind w:left="0"/>
        <w:jc w:val="both"/>
      </w:pPr>
      <w:r>
        <w:rPr>
          <w:rFonts w:ascii="Times New Roman"/>
          <w:b w:val="false"/>
          <w:i w:val="false"/>
          <w:color w:val="000000"/>
          <w:sz w:val="28"/>
        </w:rPr>
        <w:t>
      2) офшорлық аймақтар аумағында тіркелген, жекелей алғанда жарғылық капиталдың 5 (бес) пайыздан астамын иеленуші заңды тұлғаға тәуелді немесе офшорлық аймақ аумағында тіркелген заңды тұлғаға қатысты еншілес болып табылатын;</w:t>
      </w:r>
    </w:p>
    <w:bookmarkEnd w:id="16"/>
    <w:bookmarkStart w:name="z22" w:id="17"/>
    <w:p>
      <w:pPr>
        <w:spacing w:after="0"/>
        <w:ind w:left="0"/>
        <w:jc w:val="both"/>
      </w:pPr>
      <w:r>
        <w:rPr>
          <w:rFonts w:ascii="Times New Roman"/>
          <w:b w:val="false"/>
          <w:i w:val="false"/>
          <w:color w:val="000000"/>
          <w:sz w:val="28"/>
        </w:rPr>
        <w:t>
      3) офшорлық аймақтардың азаматтары болып табылатын;</w:t>
      </w:r>
    </w:p>
    <w:bookmarkEnd w:id="17"/>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Түсіндірмелердің 1-тармағында көрсетілген қамтамасыз етудің болуына қарамастан, Кестеге сәйкес тәуекел дәрежесі бойынша мөлшерленеді.</w:t>
      </w:r>
    </w:p>
    <w:bookmarkStart w:name="z23" w:id="18"/>
    <w:p>
      <w:pPr>
        <w:spacing w:after="0"/>
        <w:ind w:left="0"/>
        <w:jc w:val="both"/>
      </w:pPr>
      <w:r>
        <w:rPr>
          <w:rFonts w:ascii="Times New Roman"/>
          <w:b w:val="false"/>
          <w:i w:val="false"/>
          <w:color w:val="000000"/>
          <w:sz w:val="28"/>
        </w:rPr>
        <w:t>
      5. Түсіндірменің 1-тармағында көрсетілген, мынадай:</w:t>
      </w:r>
    </w:p>
    <w:bookmarkEnd w:id="18"/>
    <w:bookmarkStart w:name="z24" w:id="19"/>
    <w:p>
      <w:pPr>
        <w:spacing w:after="0"/>
        <w:ind w:left="0"/>
        <w:jc w:val="both"/>
      </w:pPr>
      <w:r>
        <w:rPr>
          <w:rFonts w:ascii="Times New Roman"/>
          <w:b w:val="false"/>
          <w:i w:val="false"/>
          <w:color w:val="000000"/>
          <w:sz w:val="28"/>
        </w:rPr>
        <w:t>
      1) офшорлық аймақтар аумағында заңды тұлға ретінде тіркелген, бірақ Standard&amp;Poor's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bookmarkEnd w:id="19"/>
    <w:bookmarkStart w:name="z25" w:id="20"/>
    <w:p>
      <w:pPr>
        <w:spacing w:after="0"/>
        <w:ind w:left="0"/>
        <w:jc w:val="both"/>
      </w:pPr>
      <w:r>
        <w:rPr>
          <w:rFonts w:ascii="Times New Roman"/>
          <w:b w:val="false"/>
          <w:i w:val="false"/>
          <w:color w:val="000000"/>
          <w:sz w:val="28"/>
        </w:rPr>
        <w:t>
      2) офшорлық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офшорлық аймақтардың аумағында тіркелген заңды тұлғаларға қатысты еншілес болып табылатын ұйымдарға қойылатын талаптарды қоспағанда, офшорлық аймақтардың аумағында тіркелген, жекелей алғанда жарғылық капиталдың 5 (бес) пайызынан астамын иеленуші заңды тұлғаларға тәуелді немесе офшорлық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bookmarkEnd w:id="20"/>
    <w:p>
      <w:pPr>
        <w:spacing w:after="0"/>
        <w:ind w:left="0"/>
        <w:jc w:val="both"/>
      </w:pPr>
      <w:r>
        <w:rPr>
          <w:rFonts w:ascii="Times New Roman"/>
          <w:b w:val="false"/>
          <w:i w:val="false"/>
          <w:color w:val="000000"/>
          <w:sz w:val="28"/>
        </w:rPr>
        <w:t>
      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bookmarkStart w:name="z26" w:id="21"/>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21"/>
    <w:p>
      <w:pPr>
        <w:spacing w:after="0"/>
        <w:ind w:left="0"/>
        <w:jc w:val="both"/>
      </w:pPr>
      <w:r>
        <w:rPr>
          <w:rFonts w:ascii="Times New Roman"/>
          <w:b w:val="false"/>
          <w:i w:val="false"/>
          <w:color w:val="000000"/>
          <w:sz w:val="28"/>
        </w:rPr>
        <w:t>
      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pPr>
        <w:spacing w:after="0"/>
        <w:ind w:left="0"/>
        <w:jc w:val="both"/>
      </w:pPr>
      <w:r>
        <w:rPr>
          <w:rFonts w:ascii="Times New Roman"/>
          <w:b w:val="false"/>
          <w:i w:val="false"/>
          <w:color w:val="000000"/>
          <w:sz w:val="28"/>
        </w:rPr>
        <w:t>
      тұтынушылық қарыз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p>
    <w:bookmarkStart w:name="z27" w:id="22"/>
    <w:p>
      <w:pPr>
        <w:spacing w:after="0"/>
        <w:ind w:left="0"/>
        <w:jc w:val="both"/>
      </w:pPr>
      <w:r>
        <w:rPr>
          <w:rFonts w:ascii="Times New Roman"/>
          <w:b w:val="false"/>
          <w:i w:val="false"/>
          <w:color w:val="000000"/>
          <w:sz w:val="28"/>
        </w:rPr>
        <w:t>
      7.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bookmarkEnd w:id="22"/>
    <w:bookmarkStart w:name="z28" w:id="23"/>
    <w:p>
      <w:pPr>
        <w:spacing w:after="0"/>
        <w:ind w:left="0"/>
        <w:jc w:val="both"/>
      </w:pPr>
      <w:r>
        <w:rPr>
          <w:rFonts w:ascii="Times New Roman"/>
          <w:b w:val="false"/>
          <w:i w:val="false"/>
          <w:color w:val="000000"/>
          <w:sz w:val="28"/>
        </w:rPr>
        <w:t>
      8. Орталық контрагенттің қатысуымен жасалған "кері репо" операциясының мәні болып табылатын бағалы қағаздар тәуекелдің нөлдік дәрежесі бойынша өлшенеді.</w:t>
      </w:r>
    </w:p>
    <w:bookmarkEnd w:id="23"/>
    <w:bookmarkStart w:name="z29" w:id="24"/>
    <w:p>
      <w:pPr>
        <w:spacing w:after="0"/>
        <w:ind w:left="0"/>
        <w:jc w:val="both"/>
      </w:pPr>
      <w:r>
        <w:rPr>
          <w:rFonts w:ascii="Times New Roman"/>
          <w:b w:val="false"/>
          <w:i w:val="false"/>
          <w:color w:val="000000"/>
          <w:sz w:val="28"/>
        </w:rPr>
        <w:t>
      9. 2022 жылғы 21 ақпаннан 2022 жылғы 30 қыркүйекті қоса алған кезең ішінде Америка Құрама Штаттары және Еуропалық Одақтың мемлекеттері тарапынан санкциялық шектеулер енгізу себебінен борыштық немесе тәуелсіз рейтингі төмендетілген Қазақстан Республикасының бейрезидент-банктеріне ашық корреспонденттік шоттар бойынша талаптар, Қазақстан Республикасының бейрезидент-ұйымдарындағы салымдар, Қазақстан Республикасының бейрезидент-ұйымдарына берілген қарыздар, шетелдік эмитенттердің бағалы қағаздары түріндегі активтер қайта қаралған борыштық немесе тәуелсіз рейтингтерді ескерумен кредиттік тәуекел дәрежесін қатарынан 6 (алты) ай ішінде активтердің Кестеге сәйкес санатына дейін тең үлестермен көтерумен 2022 жылғы 1 ақпандағы жағдай бойынша Standard &amp; Poor ' s агенттігі (стандарт энд Пурс) немесе басқа рейтингтік агенттіктердің бірі берген борыштық немесе тәуелсіз рейтингтер негізінде Кестеге сәйкес кредиттік тәуекел дәрежесі бойынша мөлшерленетін активтер есебіне енгізіледі.</w:t>
      </w:r>
    </w:p>
    <w:bookmarkEnd w:id="24"/>
    <w:bookmarkStart w:name="z30" w:id="25"/>
    <w:p>
      <w:pPr>
        <w:spacing w:after="0"/>
        <w:ind w:left="0"/>
        <w:jc w:val="both"/>
      </w:pPr>
      <w:r>
        <w:rPr>
          <w:rFonts w:ascii="Times New Roman"/>
          <w:b w:val="false"/>
          <w:i w:val="false"/>
          <w:color w:val="000000"/>
          <w:sz w:val="28"/>
        </w:rPr>
        <w:t xml:space="preserve">
      10. Борыш жүктемесінің коэффициентін есептеу кезінде кепілсіз тұтынушылық қарыздар бойынша Кестеге немесе Салымдардың кредиттік тәуекел дәрежесін мөлшерлеу коэффициенттерінің мәндеріне сәйкес қарыз бойынша кредит тәуекелінің дәрежесі Нормативтерге 5-1-қосымшаға (бұдан әрі - Мәндер) сәйкес егер осындай қарызға қатысты қарыз алушы-жеке тұлға Нормативтік құқықтық актілерді мемлекеттік тіркеу тізілімінде № 15541 болып тіркелген Қазақстан Республикасы Ұлттық Банкі Басқармасының 2017 жылғы 28 шілдедегі № 136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қағидаларының 19-тармағына сәйкес жасалған оңалту жоспарын орындауды жүзеге асырса, екі есе азайтылады.</w:t>
      </w:r>
    </w:p>
    <w:bookmarkEnd w:id="25"/>
    <w:p>
      <w:pPr>
        <w:spacing w:after="0"/>
        <w:ind w:left="0"/>
        <w:jc w:val="both"/>
      </w:pPr>
      <w:r>
        <w:rPr>
          <w:rFonts w:ascii="Times New Roman"/>
          <w:b w:val="false"/>
          <w:i w:val="false"/>
          <w:color w:val="000000"/>
          <w:sz w:val="28"/>
        </w:rPr>
        <w:t>
      Осы тармақтың бірінші бөлігінде көрсетілген оңалту жоспарын қарыз алушы-жеке тұлға орындамаған жағдайда, қарыз Кестеге немесе Мәндерге сәйкес кредит тәуекелінің дәрежесі бойынша мөлшерленеді.</w:t>
      </w:r>
    </w:p>
    <w:bookmarkStart w:name="z31" w:id="26"/>
    <w:p>
      <w:pPr>
        <w:spacing w:after="0"/>
        <w:ind w:left="0"/>
        <w:jc w:val="both"/>
      </w:pPr>
      <w:r>
        <w:rPr>
          <w:rFonts w:ascii="Times New Roman"/>
          <w:b w:val="false"/>
          <w:i w:val="false"/>
          <w:color w:val="000000"/>
          <w:sz w:val="28"/>
        </w:rPr>
        <w:t>
      11. Нормативтердің 21-тармағына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