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d098" w14:textId="513d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маусымдағы № 44 қаулысы. Қазақстан Республикасының Әділет министрлігінде 2022 жылғы 29 маусымда № 28637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келесі өзгеріс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5-қосымшасы</w:t>
      </w:r>
      <w:r>
        <w:rPr>
          <w:rFonts w:ascii="Times New Roman"/>
          <w:b w:val="false"/>
          <w:i w:val="false"/>
          <w:color w:val="000000"/>
          <w:sz w:val="28"/>
        </w:rPr>
        <w:t xml:space="preserve"> осы қаулысының </w:t>
      </w:r>
      <w:r>
        <w:rPr>
          <w:rFonts w:ascii="Times New Roman"/>
          <w:b w:val="false"/>
          <w:i w:val="false"/>
          <w:color w:val="000000"/>
          <w:sz w:val="28"/>
        </w:rPr>
        <w:t>қосымшасының</w:t>
      </w:r>
      <w:r>
        <w:rPr>
          <w:rFonts w:ascii="Times New Roman"/>
          <w:b w:val="false"/>
          <w:i w:val="false"/>
          <w:color w:val="000000"/>
          <w:sz w:val="28"/>
        </w:rPr>
        <w:t xml:space="preserve"> редакциясымен мазмұндалсын.</w:t>
      </w:r>
    </w:p>
    <w:bookmarkStart w:name="z5"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44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есептеу </w:t>
            </w:r>
            <w:r>
              <w:br/>
            </w:r>
            <w:r>
              <w:rPr>
                <w:rFonts w:ascii="Times New Roman"/>
                <w:b w:val="false"/>
                <w:i w:val="false"/>
                <w:color w:val="000000"/>
                <w:sz w:val="20"/>
              </w:rPr>
              <w:t xml:space="preserve">әдістемелеріне, капиталының </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13" w:id="6"/>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2021 жылғы 31 желтоқсан аралығын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0"/>
              </w:rPr>
              <w:t>қаулысымен</w:t>
            </w:r>
            <w:r>
              <w:rPr>
                <w:rFonts w:ascii="Times New Roman"/>
                <w:b w:val="false"/>
                <w:i w:val="false"/>
                <w:color w:val="000000"/>
                <w:sz w:val="20"/>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 xml:space="preserve">дәрежесi бойынша </w:t>
            </w:r>
            <w:r>
              <w:br/>
            </w:r>
            <w:r>
              <w:rPr>
                <w:rFonts w:ascii="Times New Roman"/>
                <w:b w:val="false"/>
                <w:i w:val="false"/>
                <w:color w:val="000000"/>
                <w:sz w:val="20"/>
              </w:rPr>
              <w:t xml:space="preserve">мөлшерленген банк </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7"/>
    <w:bookmarkStart w:name="z16" w:id="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7" w:id="9"/>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9"/>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18" w:id="1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9" w:id="11"/>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1"/>
    <w:bookmarkStart w:name="z20" w:id="12"/>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2"/>
    <w:bookmarkStart w:name="z21" w:id="13"/>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3"/>
    <w:bookmarkStart w:name="z22" w:id="14"/>
    <w:p>
      <w:pPr>
        <w:spacing w:after="0"/>
        <w:ind w:left="0"/>
        <w:jc w:val="both"/>
      </w:pPr>
      <w:r>
        <w:rPr>
          <w:rFonts w:ascii="Times New Roman"/>
          <w:b w:val="false"/>
          <w:i w:val="false"/>
          <w:color w:val="000000"/>
          <w:sz w:val="28"/>
        </w:rPr>
        <w:t>
      3) офшорлық аймақтардың азаматтары болып табылатын;</w:t>
      </w:r>
    </w:p>
    <w:bookmarkEnd w:id="14"/>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23" w:id="15"/>
    <w:p>
      <w:pPr>
        <w:spacing w:after="0"/>
        <w:ind w:left="0"/>
        <w:jc w:val="both"/>
      </w:pPr>
      <w:r>
        <w:rPr>
          <w:rFonts w:ascii="Times New Roman"/>
          <w:b w:val="false"/>
          <w:i w:val="false"/>
          <w:color w:val="000000"/>
          <w:sz w:val="28"/>
        </w:rPr>
        <w:t>
      5. Түсіндірменің 1-тармағында көрсетілген, мынадай:</w:t>
      </w:r>
    </w:p>
    <w:bookmarkEnd w:id="15"/>
    <w:bookmarkStart w:name="z24" w:id="16"/>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6"/>
    <w:bookmarkStart w:name="z25" w:id="17"/>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7"/>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26" w:id="1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8"/>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27" w:id="19"/>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9"/>
    <w:bookmarkStart w:name="z28" w:id="20"/>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20"/>
    <w:bookmarkStart w:name="z29" w:id="21"/>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 ' 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Start w:name="z31" w:id="22"/>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