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e6c6" w14:textId="f3ee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жылғы 1 шілдеден бастап 2023 жылғы 15 ақпанды қоса алғандағы кезеңге аң аулау объектілері болып табылатын жануарлар түрлерін алып қою лимитін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10 маусымдағы № 211 бұйрығы. Қазақстан Республикасының Әділет министрлігінде 2022 жылғы 16 маусымда № 28494 болып тіркелді</w:t>
      </w:r>
    </w:p>
    <w:p>
      <w:pPr>
        <w:spacing w:after="0"/>
        <w:ind w:left="0"/>
        <w:jc w:val="left"/>
      </w:pP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 жылғы 1 шілдеден бастап 2023 жылғы 15 ақпанды қоса алғандағы кезеңге аң аулау объектілері болып табылатын жануарлар түрлерін алып қою </w:t>
      </w:r>
      <w:r>
        <w:rPr>
          <w:rFonts w:ascii="Times New Roman"/>
          <w:b w:val="false"/>
          <w:i w:val="false"/>
          <w:color w:val="000000"/>
          <w:sz w:val="28"/>
        </w:rPr>
        <w:t>лимиті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бұйрықтың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2"/>
    <w:bookmarkStart w:name="z6" w:id="3"/>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2022 жылғы 1 шілдеден бастап 2023 жылғы 15 ақпанды қоса алғандағы кезеңге аң аулау объектілері болып табылатын жануарлар түрлерін алып қою лимиті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шошқа Sus scrofa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Moschus moschiferus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Cervus elaphus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Capreolus pygargus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Alces alces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Киік</w:t>
            </w:r>
          </w:p>
          <w:p>
            <w:pPr>
              <w:spacing w:after="20"/>
              <w:ind w:left="20"/>
              <w:jc w:val="both"/>
            </w:pPr>
            <w:r>
              <w:rPr>
                <w:rFonts w:ascii="Times New Roman"/>
                <w:b w:val="false"/>
                <w:i w:val="false"/>
                <w:color w:val="000000"/>
                <w:sz w:val="20"/>
              </w:rPr>
              <w:t>
Saiga tatarica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Тау-теке Capra sibirica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(Тяньшаннан басқа) Ursus arctos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(Түркістандікінен басқа) Lynx lynx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 Nyctereutes procyonoides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bl>
    <w:p>
      <w:pPr>
        <w:spacing w:after="0"/>
        <w:ind w:left="0"/>
        <w:jc w:val="both"/>
      </w:pPr>
      <w:r>
        <w:rPr>
          <w:rFonts w:ascii="Times New Roman"/>
          <w:b w:val="false"/>
          <w:i w:val="false"/>
          <w:color w:val="000000"/>
          <w:sz w:val="28"/>
        </w:rPr>
        <w:t>
      *ғылыми мақсаттарда алып қоюға арналған квоталарды қоса алғанда</w:t>
      </w:r>
    </w:p>
    <w:p>
      <w:pPr>
        <w:spacing w:after="0"/>
        <w:ind w:left="0"/>
        <w:jc w:val="both"/>
      </w:pPr>
      <w:r>
        <w:rPr>
          <w:rFonts w:ascii="Times New Roman"/>
          <w:b w:val="false"/>
          <w:i w:val="false"/>
          <w:color w:val="000000"/>
          <w:sz w:val="28"/>
        </w:rPr>
        <w:t>
      **киікті тек ғылыми мақсатта алуға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Vulpes corsac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Vulpes vulpes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күзен Mustela vison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Meles meles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(Орта азиялықтан басқа). Lutra lutra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Аққіс Mustela erminea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кұзен Mustela sibirica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кұзен Mustela altaica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p>
            <w:pPr>
              <w:spacing w:after="20"/>
              <w:ind w:left="20"/>
              <w:jc w:val="both"/>
            </w:pPr>
            <w:r>
              <w:rPr>
                <w:rFonts w:ascii="Times New Roman"/>
                <w:b w:val="false"/>
                <w:i w:val="false"/>
                <w:color w:val="000000"/>
                <w:sz w:val="20"/>
              </w:rPr>
              <w:t>
Gulo gulo</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*ғылыми мақсаттарда алып қоюға арналған квоталарды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 Martes zibellina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Mustela altaica.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құзен Mustela eversmanni.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w:t>
            </w:r>
          </w:p>
          <w:p>
            <w:pPr>
              <w:spacing w:after="20"/>
              <w:ind w:left="20"/>
              <w:jc w:val="both"/>
            </w:pPr>
            <w:r>
              <w:rPr>
                <w:rFonts w:ascii="Times New Roman"/>
                <w:b w:val="false"/>
                <w:i w:val="false"/>
                <w:color w:val="000000"/>
                <w:sz w:val="20"/>
              </w:rPr>
              <w:t>
Lepus.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 Marmota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 Spermophilus fulvus.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 Sciurus vulgaris.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 Ondatra zibethicus.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Қамшат Castor fiber.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p>
      <w:pPr>
        <w:spacing w:after="0"/>
        <w:ind w:left="0"/>
        <w:jc w:val="both"/>
      </w:pPr>
      <w:r>
        <w:rPr>
          <w:rFonts w:ascii="Times New Roman"/>
          <w:b w:val="false"/>
          <w:i w:val="false"/>
          <w:color w:val="000000"/>
          <w:sz w:val="28"/>
        </w:rPr>
        <w:t>
      *ғылыми мақсаттарда алып қоюға арналған квоталарды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p>
            <w:pPr>
              <w:spacing w:after="20"/>
              <w:ind w:left="20"/>
              <w:jc w:val="both"/>
            </w:pPr>
            <w:r>
              <w:rPr>
                <w:rFonts w:ascii="Times New Roman"/>
                <w:b w:val="false"/>
                <w:i w:val="false"/>
                <w:color w:val="000000"/>
                <w:sz w:val="20"/>
              </w:rPr>
              <w:t>
Anser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Anatinae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Fulica atra.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Балшықшылар Charabrii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p>
            <w:pPr>
              <w:spacing w:after="20"/>
              <w:ind w:left="20"/>
              <w:jc w:val="both"/>
            </w:pPr>
            <w:r>
              <w:rPr>
                <w:rFonts w:ascii="Times New Roman"/>
                <w:b w:val="false"/>
                <w:i w:val="false"/>
                <w:color w:val="000000"/>
                <w:sz w:val="20"/>
              </w:rPr>
              <w:t>
Lyrurus tetrix.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Меңіреу</w:t>
            </w:r>
          </w:p>
          <w:p>
            <w:pPr>
              <w:spacing w:after="20"/>
              <w:ind w:left="20"/>
              <w:jc w:val="both"/>
            </w:pPr>
            <w:r>
              <w:rPr>
                <w:rFonts w:ascii="Times New Roman"/>
                <w:b w:val="false"/>
                <w:i w:val="false"/>
                <w:color w:val="000000"/>
                <w:sz w:val="20"/>
              </w:rPr>
              <w:t>
Tetrao urogallus.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Сұрқұр</w:t>
            </w:r>
          </w:p>
          <w:p>
            <w:pPr>
              <w:spacing w:after="20"/>
              <w:ind w:left="20"/>
              <w:jc w:val="both"/>
            </w:pPr>
            <w:r>
              <w:rPr>
                <w:rFonts w:ascii="Times New Roman"/>
                <w:b w:val="false"/>
                <w:i w:val="false"/>
                <w:color w:val="000000"/>
                <w:sz w:val="20"/>
              </w:rPr>
              <w:t>
Tetrastes bonasia.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bl>
    <w:p>
      <w:pPr>
        <w:spacing w:after="0"/>
        <w:ind w:left="0"/>
        <w:jc w:val="both"/>
      </w:pPr>
      <w:r>
        <w:rPr>
          <w:rFonts w:ascii="Times New Roman"/>
          <w:b w:val="false"/>
          <w:i w:val="false"/>
          <w:color w:val="000000"/>
          <w:sz w:val="28"/>
        </w:rPr>
        <w:t>
      *ғылыми мақсаттарда алып қоюға арналған квоталарды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Phasianus colchicus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Tetraogallus himalayensis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Шілдер</w:t>
            </w:r>
          </w:p>
          <w:p>
            <w:pPr>
              <w:spacing w:after="20"/>
              <w:ind w:left="20"/>
              <w:jc w:val="both"/>
            </w:pPr>
            <w:r>
              <w:rPr>
                <w:rFonts w:ascii="Times New Roman"/>
                <w:b w:val="false"/>
                <w:i w:val="false"/>
                <w:color w:val="000000"/>
                <w:sz w:val="20"/>
              </w:rPr>
              <w:t>
Perdix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 Alectoris chukar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Coturnix coturnix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Кептер</w:t>
            </w:r>
          </w:p>
          <w:p>
            <w:pPr>
              <w:spacing w:after="20"/>
              <w:ind w:left="20"/>
              <w:jc w:val="both"/>
            </w:pPr>
            <w:r>
              <w:rPr>
                <w:rFonts w:ascii="Times New Roman"/>
                <w:b w:val="false"/>
                <w:i w:val="false"/>
                <w:color w:val="000000"/>
                <w:sz w:val="20"/>
              </w:rPr>
              <w:t>
Columba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132904</w:t>
            </w:r>
          </w:p>
        </w:tc>
      </w:tr>
    </w:tbl>
    <w:p>
      <w:pPr>
        <w:spacing w:after="0"/>
        <w:ind w:left="0"/>
        <w:jc w:val="both"/>
      </w:pPr>
      <w:r>
        <w:rPr>
          <w:rFonts w:ascii="Times New Roman"/>
          <w:b w:val="false"/>
          <w:i w:val="false"/>
          <w:color w:val="000000"/>
          <w:sz w:val="28"/>
        </w:rPr>
        <w:t>
      *ғылыми мақсаттарда алып қоюға арналған квоталарды қоса алғанда</w:t>
      </w:r>
    </w:p>
    <w:bookmarkStart w:name="z11" w:id="7"/>
    <w:p>
      <w:pPr>
        <w:spacing w:after="0"/>
        <w:ind w:left="0"/>
        <w:jc w:val="left"/>
      </w:pPr>
      <w:r>
        <w:rPr>
          <w:rFonts w:ascii="Times New Roman"/>
          <w:b/>
          <w:i w:val="false"/>
          <w:color w:val="000000"/>
        </w:rPr>
        <w:t xml:space="preserve"> Ғылыми мақсаттарда алып қоюға квоталар (жалпы лимит шегінде)*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жабайы аңдар мен құстарды алып қою жоспары (дарақ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жабайы аңдар мен құстарды алып қою жоспары (дарақ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ғылыми мақсаттарда алып қою квоталары Ветеринария бойынша ұлттық референттік орталық, Зооноздық инфекциялар институты, ҚР ЭГТРМ ҚР ҰЯО "Радиациялық қауіпсіздік және экология институты" филиалы, ҚР БҒМ Зоология институты және Қазақ ветеринарлық ғылыми-зерттеу институты үшін кепілдендірілген болып табылады. Қосымша квоталар, оның ішінде басқа ұйымдар үшін облыстар деңгейінде де бөлінген лимиттер шегінде бөлінуі мүмкін. Киікке арналған барлық лимит тек ғылыми мақсаттар үшін бөлінеді.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