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05e5" w14:textId="0950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30 мамырдағы № 40 қаулысы. Қазақстан Республикасының Әділет министрлігінде 2022 жылғы 7 маусымда № 28402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18180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құжаттардың болуын көздейді, бірақ олармен шектелмейді:</w:t>
      </w:r>
    </w:p>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p>
      <w:pPr>
        <w:spacing w:after="0"/>
        <w:ind w:left="0"/>
        <w:jc w:val="both"/>
      </w:pPr>
      <w:r>
        <w:rPr>
          <w:rFonts w:ascii="Times New Roman"/>
          <w:b w:val="false"/>
          <w:i w:val="false"/>
          <w:color w:val="000000"/>
          <w:sz w:val="28"/>
        </w:rPr>
        <w:t>
      3) ішкі бақылау мен ішкі аудитті жүзеге асыру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(жылыстауға) және терроризмді қаржыландыруға қарсы іс қимылға бағытталған рәсімдерді;</w:t>
      </w:r>
    </w:p>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 мүдделері үшін оларды пайдалануларын болдырмауға бағытталған коммерциялық және (немесе) Қазақстан Республикасының заңдарымен қорғалатын мәліметтерді (бұдан әрі – конфиденциалды ақпарат) сақтауды қамтамасыз ету рәсімдері;</w:t>
      </w:r>
    </w:p>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олардың қызметінің тәртібін регламенттейтін Қазақстан Республикасының бағалы қағаздар рыногы туралы заңнамасының талаптарына және орталық депозитарийдің ішкі құжаттарына сәйкестігі тұрғысынан мониторинг жүргізу және бақылау рәсімдері;</w:t>
      </w:r>
    </w:p>
    <w:p>
      <w:pPr>
        <w:spacing w:after="0"/>
        <w:ind w:left="0"/>
        <w:jc w:val="both"/>
      </w:pPr>
      <w:r>
        <w:rPr>
          <w:rFonts w:ascii="Times New Roman"/>
          <w:b w:val="false"/>
          <w:i w:val="false"/>
          <w:color w:val="000000"/>
          <w:sz w:val="28"/>
        </w:rPr>
        <w:t>
      9) орталық депозитарийдің ақпараттық саясаты;</w:t>
      </w:r>
    </w:p>
    <w:p>
      <w:pPr>
        <w:spacing w:after="0"/>
        <w:ind w:left="0"/>
        <w:jc w:val="both"/>
      </w:pPr>
      <w:r>
        <w:rPr>
          <w:rFonts w:ascii="Times New Roman"/>
          <w:b w:val="false"/>
          <w:i w:val="false"/>
          <w:color w:val="000000"/>
          <w:sz w:val="28"/>
        </w:rPr>
        <w:t>
      10) қауіпсіздік техникасы бойынша нұсқаулық;</w:t>
      </w:r>
    </w:p>
    <w:p>
      <w:pPr>
        <w:spacing w:after="0"/>
        <w:ind w:left="0"/>
        <w:jc w:val="both"/>
      </w:pPr>
      <w:r>
        <w:rPr>
          <w:rFonts w:ascii="Times New Roman"/>
          <w:b w:val="false"/>
          <w:i w:val="false"/>
          <w:color w:val="000000"/>
          <w:sz w:val="28"/>
        </w:rPr>
        <w:t>
      11) ақпараттық қауіпсіздікті қамтамасыз ету жөніндегі құжаттама;</w:t>
      </w:r>
    </w:p>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мәмілелердің тізілімі жүйесіне қате енгізуді болдырмауға бағытталған рәсімдер;</w:t>
      </w:r>
    </w:p>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p>
      <w:pPr>
        <w:spacing w:after="0"/>
        <w:ind w:left="0"/>
        <w:jc w:val="both"/>
      </w:pPr>
      <w:r>
        <w:rPr>
          <w:rFonts w:ascii="Times New Roman"/>
          <w:b w:val="false"/>
          <w:i w:val="false"/>
          <w:color w:val="000000"/>
          <w:sz w:val="28"/>
        </w:rPr>
        <w:t>
      15) резервтік техникалық орталыққа қойылатын талаптар;</w:t>
      </w:r>
    </w:p>
    <w:p>
      <w:pPr>
        <w:spacing w:after="0"/>
        <w:ind w:left="0"/>
        <w:jc w:val="both"/>
      </w:pPr>
      <w:r>
        <w:rPr>
          <w:rFonts w:ascii="Times New Roman"/>
          <w:b w:val="false"/>
          <w:i w:val="false"/>
          <w:color w:val="000000"/>
          <w:sz w:val="28"/>
        </w:rPr>
        <w:t>
      16) бағалы қағаздарды ұстаушылар тізілімдерінің жүйесін құрайтын орталық депозитарийдің архивтік құжаттарын сақтауға арналған үй-жайға қойылатын талаптар;</w:t>
      </w:r>
    </w:p>
    <w:p>
      <w:pPr>
        <w:spacing w:after="0"/>
        <w:ind w:left="0"/>
        <w:jc w:val="both"/>
      </w:pPr>
      <w:r>
        <w:rPr>
          <w:rFonts w:ascii="Times New Roman"/>
          <w:b w:val="false"/>
          <w:i w:val="false"/>
          <w:color w:val="000000"/>
          <w:sz w:val="28"/>
        </w:rPr>
        <w:t>
      17) басқарушылық ақпарат жүйесінің жұмыс істеу тәртібі;</w:t>
      </w:r>
    </w:p>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Ақпараттық қауіпсіздікті қамтамасыз ету жөніндегі құжаттама мыналарды:</w:t>
      </w:r>
    </w:p>
    <w:p>
      <w:pPr>
        <w:spacing w:after="0"/>
        <w:ind w:left="0"/>
        <w:jc w:val="both"/>
      </w:pPr>
      <w:r>
        <w:rPr>
          <w:rFonts w:ascii="Times New Roman"/>
          <w:b w:val="false"/>
          <w:i w:val="false"/>
          <w:color w:val="000000"/>
          <w:sz w:val="28"/>
        </w:rPr>
        <w:t>
      1) орталық депозитарийдің ақпараттық қауіпсіздік саясатын;</w:t>
      </w:r>
    </w:p>
    <w:p>
      <w:pPr>
        <w:spacing w:after="0"/>
        <w:ind w:left="0"/>
        <w:jc w:val="both"/>
      </w:pPr>
      <w:r>
        <w:rPr>
          <w:rFonts w:ascii="Times New Roman"/>
          <w:b w:val="false"/>
          <w:i w:val="false"/>
          <w:color w:val="000000"/>
          <w:sz w:val="28"/>
        </w:rPr>
        <w:t>
      2) қорғалуға жататын және оның ішінде қызметтік, коммерциялық немесе заңмен қорғалатын өзге де құпияны құрайтын мәліметтерді қамтитын ақпарат тізбесін (бұдан әрі – қорғалатын ақпарат);</w:t>
      </w:r>
    </w:p>
    <w:p>
      <w:pPr>
        <w:spacing w:after="0"/>
        <w:ind w:left="0"/>
        <w:jc w:val="both"/>
      </w:pPr>
      <w:r>
        <w:rPr>
          <w:rFonts w:ascii="Times New Roman"/>
          <w:b w:val="false"/>
          <w:i w:val="false"/>
          <w:color w:val="000000"/>
          <w:sz w:val="28"/>
        </w:rPr>
        <w:t>
      3) қорғалатын ақпаратпен жұмыс істеу тәртібін;</w:t>
      </w:r>
    </w:p>
    <w:p>
      <w:pPr>
        <w:spacing w:after="0"/>
        <w:ind w:left="0"/>
        <w:jc w:val="both"/>
      </w:pPr>
      <w:r>
        <w:rPr>
          <w:rFonts w:ascii="Times New Roman"/>
          <w:b w:val="false"/>
          <w:i w:val="false"/>
          <w:color w:val="000000"/>
          <w:sz w:val="28"/>
        </w:rPr>
        <w:t>
      4) қорғалатын ақпаратты өңдейтін ақпараттық жүйелердің тізбесін;</w:t>
      </w:r>
    </w:p>
    <w:p>
      <w:pPr>
        <w:spacing w:after="0"/>
        <w:ind w:left="0"/>
        <w:jc w:val="both"/>
      </w:pPr>
      <w:r>
        <w:rPr>
          <w:rFonts w:ascii="Times New Roman"/>
          <w:b w:val="false"/>
          <w:i w:val="false"/>
          <w:color w:val="000000"/>
          <w:sz w:val="28"/>
        </w:rPr>
        <w:t>
      5) қорғалатын ақпаратты өңдейтін ақпараттық жүйелерді таңдау, енгізу, әзірлеу және тестілеу кезінде ақпараттық қауіпсіздікті қамтамасыз етуге қойылатын талаптарды;</w:t>
      </w:r>
    </w:p>
    <w:p>
      <w:pPr>
        <w:spacing w:after="0"/>
        <w:ind w:left="0"/>
        <w:jc w:val="both"/>
      </w:pPr>
      <w:r>
        <w:rPr>
          <w:rFonts w:ascii="Times New Roman"/>
          <w:b w:val="false"/>
          <w:i w:val="false"/>
          <w:color w:val="000000"/>
          <w:sz w:val="28"/>
        </w:rPr>
        <w:t>
      6) қорғалатын ақпаратты өңдейтін ақпараттық жүйелерге қолжетімділікті басқару тәртібін;</w:t>
      </w:r>
    </w:p>
    <w:p>
      <w:pPr>
        <w:spacing w:after="0"/>
        <w:ind w:left="0"/>
        <w:jc w:val="both"/>
      </w:pPr>
      <w:r>
        <w:rPr>
          <w:rFonts w:ascii="Times New Roman"/>
          <w:b w:val="false"/>
          <w:i w:val="false"/>
          <w:color w:val="000000"/>
          <w:sz w:val="28"/>
        </w:rPr>
        <w:t>
      7) қорғалатын ақпаратты өңдейтін ақпараттық жүйелердің резервтік көшірмелерінің резервтік көшірмелерін жасау, сақтау, қалпына келтіру, жұмысқа қабілеттілігін тестілеу тәртібін;</w:t>
      </w:r>
    </w:p>
    <w:p>
      <w:pPr>
        <w:spacing w:after="0"/>
        <w:ind w:left="0"/>
        <w:jc w:val="both"/>
      </w:pPr>
      <w:r>
        <w:rPr>
          <w:rFonts w:ascii="Times New Roman"/>
          <w:b w:val="false"/>
          <w:i w:val="false"/>
          <w:color w:val="000000"/>
          <w:sz w:val="28"/>
        </w:rPr>
        <w:t>
      8) орталық депозитарийдің ақпараттық инфрақұрылымын вирусқа қарсы қорғауды қамтамасыз ету тәртібін;</w:t>
      </w:r>
    </w:p>
    <w:p>
      <w:pPr>
        <w:spacing w:after="0"/>
        <w:ind w:left="0"/>
        <w:jc w:val="both"/>
      </w:pPr>
      <w:r>
        <w:rPr>
          <w:rFonts w:ascii="Times New Roman"/>
          <w:b w:val="false"/>
          <w:i w:val="false"/>
          <w:color w:val="000000"/>
          <w:sz w:val="28"/>
        </w:rPr>
        <w:t>
      9) орталық депозитарийде пайдалануға рұқсат етілген бағдарламалық қамтылымның тізбесін;</w:t>
      </w:r>
    </w:p>
    <w:p>
      <w:pPr>
        <w:spacing w:after="0"/>
        <w:ind w:left="0"/>
        <w:jc w:val="both"/>
      </w:pPr>
      <w:r>
        <w:rPr>
          <w:rFonts w:ascii="Times New Roman"/>
          <w:b w:val="false"/>
          <w:i w:val="false"/>
          <w:color w:val="000000"/>
          <w:sz w:val="28"/>
        </w:rPr>
        <w:t>
      10) ақпараттық қауіпсіздікті қамтамасыз етудің қабылданған шараларының бұзылғаны туралы не ақпараттық қауіпсіздікке қатысы болуы мүмкін бұрын белгісіз болған жағдай туралы куәландыратын ақпараттық қауіпсіздік жүйесін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оқиғаларды (бұдан әрі – ақпараттық қауіпсіздік оқиғалары) мониторингтеудің кезеңділігі мен қағидаларын;</w:t>
      </w:r>
    </w:p>
    <w:p>
      <w:pPr>
        <w:spacing w:after="0"/>
        <w:ind w:left="0"/>
        <w:jc w:val="both"/>
      </w:pPr>
      <w:r>
        <w:rPr>
          <w:rFonts w:ascii="Times New Roman"/>
          <w:b w:val="false"/>
          <w:i w:val="false"/>
          <w:color w:val="000000"/>
          <w:sz w:val="28"/>
        </w:rPr>
        <w:t>
      11) мониторингтелуге тиіс ақпараттық қауіпсіздік оқиғаларының тізбесін;</w:t>
      </w:r>
    </w:p>
    <w:p>
      <w:pPr>
        <w:spacing w:after="0"/>
        <w:ind w:left="0"/>
        <w:jc w:val="both"/>
      </w:pPr>
      <w:r>
        <w:rPr>
          <w:rFonts w:ascii="Times New Roman"/>
          <w:b w:val="false"/>
          <w:i w:val="false"/>
          <w:color w:val="000000"/>
          <w:sz w:val="28"/>
        </w:rPr>
        <w:t>
      12) ақпараттық қауіпсіздік оқиғалары көздерінің тізбесін;</w:t>
      </w:r>
    </w:p>
    <w:p>
      <w:pPr>
        <w:spacing w:after="0"/>
        <w:ind w:left="0"/>
        <w:jc w:val="both"/>
      </w:pPr>
      <w:r>
        <w:rPr>
          <w:rFonts w:ascii="Times New Roman"/>
          <w:b w:val="false"/>
          <w:i w:val="false"/>
          <w:color w:val="000000"/>
          <w:sz w:val="28"/>
        </w:rPr>
        <w:t>
      13) ақпараттық-коммуникациялық инфрақұрылымның немесе оның жекелеген объектілерінің жұмысында жекелеген немесе сериялы түрде туындайтын, олардың тиісінше жұмыс істеуіне қатер төндіретін және (немесе) қорғалатын ақпаратты заңсыз алу, көшірмесін түсіру, тарату, түрлендіру, жою немесе бұғаттау үшін жағдайлар жасайтын іркілістерді (бұдан әрі – ақпараттық қауіпсіздіктің оқыс оқиғалары) өңдеу тәртібін;</w:t>
      </w:r>
    </w:p>
    <w:p>
      <w:pPr>
        <w:spacing w:after="0"/>
        <w:ind w:left="0"/>
        <w:jc w:val="both"/>
      </w:pPr>
      <w:r>
        <w:rPr>
          <w:rFonts w:ascii="Times New Roman"/>
          <w:b w:val="false"/>
          <w:i w:val="false"/>
          <w:color w:val="000000"/>
          <w:sz w:val="28"/>
        </w:rPr>
        <w:t>
      14) ақпараттық қауіпсіздік оқиғаларын ақпараттық қауіпсіздіктің оқыс оқиғаларына жатқызу тәртібін;</w:t>
      </w:r>
    </w:p>
    <w:p>
      <w:pPr>
        <w:spacing w:after="0"/>
        <w:ind w:left="0"/>
        <w:jc w:val="both"/>
      </w:pPr>
      <w:r>
        <w:rPr>
          <w:rFonts w:ascii="Times New Roman"/>
          <w:b w:val="false"/>
          <w:i w:val="false"/>
          <w:color w:val="000000"/>
          <w:sz w:val="28"/>
        </w:rPr>
        <w:t>
      15) орталық депозитарийдің қызметкерлері болып табылмайтын адамдардың қорғалатын ақпаратты өңдейтін ақпараттық жүйелерге қол жеткізу тәртібін;</w:t>
      </w:r>
    </w:p>
    <w:p>
      <w:pPr>
        <w:spacing w:after="0"/>
        <w:ind w:left="0"/>
        <w:jc w:val="both"/>
      </w:pPr>
      <w:r>
        <w:rPr>
          <w:rFonts w:ascii="Times New Roman"/>
          <w:b w:val="false"/>
          <w:i w:val="false"/>
          <w:color w:val="000000"/>
          <w:sz w:val="28"/>
        </w:rPr>
        <w:t>
      16) Интернетті және электрондық поштаны пайдалану кезінде ақпаратты қорғау тәртібін;</w:t>
      </w:r>
    </w:p>
    <w:p>
      <w:pPr>
        <w:spacing w:after="0"/>
        <w:ind w:left="0"/>
        <w:jc w:val="both"/>
      </w:pPr>
      <w:r>
        <w:rPr>
          <w:rFonts w:ascii="Times New Roman"/>
          <w:b w:val="false"/>
          <w:i w:val="false"/>
          <w:color w:val="000000"/>
          <w:sz w:val="28"/>
        </w:rPr>
        <w:t>
      17) ақпараттық жүйелердің жаңартуларын басқару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рәсімдері мыналарды айқындайды:</w:t>
      </w:r>
    </w:p>
    <w:p>
      <w:pPr>
        <w:spacing w:after="0"/>
        <w:ind w:left="0"/>
        <w:jc w:val="both"/>
      </w:pPr>
      <w:r>
        <w:rPr>
          <w:rFonts w:ascii="Times New Roman"/>
          <w:b w:val="false"/>
          <w:i w:val="false"/>
          <w:color w:val="000000"/>
          <w:sz w:val="28"/>
        </w:rPr>
        <w:t>
      1) бастапқы құжаттар негізінде іс-әрекеттерді жүзеге асырумен байланысты тәуекелдер:</w:t>
      </w:r>
    </w:p>
    <w:p>
      <w:pPr>
        <w:spacing w:after="0"/>
        <w:ind w:left="0"/>
        <w:jc w:val="both"/>
      </w:pPr>
      <w:r>
        <w:rPr>
          <w:rFonts w:ascii="Times New Roman"/>
          <w:b w:val="false"/>
          <w:i w:val="false"/>
          <w:color w:val="000000"/>
          <w:sz w:val="28"/>
        </w:rPr>
        <w:t>
      бастапқы құжаттарды уәкілетті емес тұлғаның ұсынуы;</w:t>
      </w:r>
    </w:p>
    <w:p>
      <w:pPr>
        <w:spacing w:after="0"/>
        <w:ind w:left="0"/>
        <w:jc w:val="both"/>
      </w:pPr>
      <w:r>
        <w:rPr>
          <w:rFonts w:ascii="Times New Roman"/>
          <w:b w:val="false"/>
          <w:i w:val="false"/>
          <w:color w:val="000000"/>
          <w:sz w:val="28"/>
        </w:rPr>
        <w:t>
      бастапқы құжаттардың ұрлануы, айырбасталуы немесе жоғалуы;</w:t>
      </w:r>
    </w:p>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p>
      <w:pPr>
        <w:spacing w:after="0"/>
        <w:ind w:left="0"/>
        <w:jc w:val="both"/>
      </w:pPr>
      <w:r>
        <w:rPr>
          <w:rFonts w:ascii="Times New Roman"/>
          <w:b w:val="false"/>
          <w:i w:val="false"/>
          <w:color w:val="000000"/>
          <w:sz w:val="28"/>
        </w:rPr>
        <w:t>
      2) бастапқы құжаттар негізінде есептік және өзге құжаттарды берумен байланысты тәуекелдер:</w:t>
      </w:r>
    </w:p>
    <w:p>
      <w:pPr>
        <w:spacing w:after="0"/>
        <w:ind w:left="0"/>
        <w:jc w:val="both"/>
      </w:pPr>
      <w:r>
        <w:rPr>
          <w:rFonts w:ascii="Times New Roman"/>
          <w:b w:val="false"/>
          <w:i w:val="false"/>
          <w:color w:val="000000"/>
          <w:sz w:val="28"/>
        </w:rPr>
        <w:t>
      есептік құжатты қалыптастыруды орындамау;</w:t>
      </w:r>
    </w:p>
    <w:p>
      <w:pPr>
        <w:spacing w:after="0"/>
        <w:ind w:left="0"/>
        <w:jc w:val="both"/>
      </w:pPr>
      <w:r>
        <w:rPr>
          <w:rFonts w:ascii="Times New Roman"/>
          <w:b w:val="false"/>
          <w:i w:val="false"/>
          <w:color w:val="000000"/>
          <w:sz w:val="28"/>
        </w:rPr>
        <w:t>
      есептік құжатты уақтылы қалыптастырмау;</w:t>
      </w:r>
    </w:p>
    <w:p>
      <w:pPr>
        <w:spacing w:after="0"/>
        <w:ind w:left="0"/>
        <w:jc w:val="both"/>
      </w:pPr>
      <w:r>
        <w:rPr>
          <w:rFonts w:ascii="Times New Roman"/>
          <w:b w:val="false"/>
          <w:i w:val="false"/>
          <w:color w:val="000000"/>
          <w:sz w:val="28"/>
        </w:rPr>
        <w:t>
      есептік құжаттағы дұрыс емес деректер;</w:t>
      </w:r>
    </w:p>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p>
      <w:pPr>
        <w:spacing w:after="0"/>
        <w:ind w:left="0"/>
        <w:jc w:val="both"/>
      </w:pPr>
      <w:r>
        <w:rPr>
          <w:rFonts w:ascii="Times New Roman"/>
          <w:b w:val="false"/>
          <w:i w:val="false"/>
          <w:color w:val="000000"/>
          <w:sz w:val="28"/>
        </w:rPr>
        <w:t>
      есептік құжатты уәкілетті емес тұлғаға беру;</w:t>
      </w:r>
    </w:p>
    <w:p>
      <w:pPr>
        <w:spacing w:after="0"/>
        <w:ind w:left="0"/>
        <w:jc w:val="both"/>
      </w:pPr>
      <w:r>
        <w:rPr>
          <w:rFonts w:ascii="Times New Roman"/>
          <w:b w:val="false"/>
          <w:i w:val="false"/>
          <w:color w:val="000000"/>
          <w:sz w:val="28"/>
        </w:rPr>
        <w:t>
      есептік құжаттарды ұрлау, айырбастау және жоғалту;</w:t>
      </w:r>
    </w:p>
    <w:p>
      <w:pPr>
        <w:spacing w:after="0"/>
        <w:ind w:left="0"/>
        <w:jc w:val="both"/>
      </w:pPr>
      <w:r>
        <w:rPr>
          <w:rFonts w:ascii="Times New Roman"/>
          <w:b w:val="false"/>
          <w:i w:val="false"/>
          <w:color w:val="000000"/>
          <w:sz w:val="28"/>
        </w:rPr>
        <w:t>
      3) ақпараттық жүйелерді пайдалануға байланысты тәуекелдер:</w:t>
      </w:r>
    </w:p>
    <w:p>
      <w:pPr>
        <w:spacing w:after="0"/>
        <w:ind w:left="0"/>
        <w:jc w:val="both"/>
      </w:pPr>
      <w:r>
        <w:rPr>
          <w:rFonts w:ascii="Times New Roman"/>
          <w:b w:val="false"/>
          <w:i w:val="false"/>
          <w:color w:val="000000"/>
          <w:sz w:val="28"/>
        </w:rPr>
        <w:t>
      операциялық күнді ашу (жабу) рәсімдерін орындамау;</w:t>
      </w:r>
    </w:p>
    <w:p>
      <w:pPr>
        <w:spacing w:after="0"/>
        <w:ind w:left="0"/>
        <w:jc w:val="both"/>
      </w:pPr>
      <w:r>
        <w:rPr>
          <w:rFonts w:ascii="Times New Roman"/>
          <w:b w:val="false"/>
          <w:i w:val="false"/>
          <w:color w:val="000000"/>
          <w:sz w:val="28"/>
        </w:rPr>
        <w:t>
      қор биржасының терминалын қосуды орындамау;</w:t>
      </w:r>
    </w:p>
    <w:p>
      <w:pPr>
        <w:spacing w:after="0"/>
        <w:ind w:left="0"/>
        <w:jc w:val="both"/>
      </w:pPr>
      <w:r>
        <w:rPr>
          <w:rFonts w:ascii="Times New Roman"/>
          <w:b w:val="false"/>
          <w:i w:val="false"/>
          <w:color w:val="000000"/>
          <w:sz w:val="28"/>
        </w:rPr>
        <w:t>
      кіріс файлының дұрыс емес форматы;</w:t>
      </w:r>
    </w:p>
    <w:p>
      <w:pPr>
        <w:spacing w:after="0"/>
        <w:ind w:left="0"/>
        <w:jc w:val="both"/>
      </w:pPr>
      <w:r>
        <w:rPr>
          <w:rFonts w:ascii="Times New Roman"/>
          <w:b w:val="false"/>
          <w:i w:val="false"/>
          <w:color w:val="000000"/>
          <w:sz w:val="28"/>
        </w:rPr>
        <w:t>
      кіріс файлының дұрыс емес мазмұны;</w:t>
      </w:r>
    </w:p>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p>
      <w:pPr>
        <w:spacing w:after="0"/>
        <w:ind w:left="0"/>
        <w:jc w:val="both"/>
      </w:pPr>
      <w:r>
        <w:rPr>
          <w:rFonts w:ascii="Times New Roman"/>
          <w:b w:val="false"/>
          <w:i w:val="false"/>
          <w:color w:val="000000"/>
          <w:sz w:val="28"/>
        </w:rPr>
        <w:t>
      дерекқорда жазбаны қалыптастыруды орындамау;</w:t>
      </w:r>
    </w:p>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p>
      <w:pPr>
        <w:spacing w:after="0"/>
        <w:ind w:left="0"/>
        <w:jc w:val="both"/>
      </w:pPr>
      <w:r>
        <w:rPr>
          <w:rFonts w:ascii="Times New Roman"/>
          <w:b w:val="false"/>
          <w:i w:val="false"/>
          <w:color w:val="000000"/>
          <w:sz w:val="28"/>
        </w:rPr>
        <w:t>
      есептеулерді кейінге қалдыру күнімен бұйрықты кезекке қою;</w:t>
      </w:r>
    </w:p>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p>
      <w:pPr>
        <w:spacing w:after="0"/>
        <w:ind w:left="0"/>
        <w:jc w:val="both"/>
      </w:pPr>
      <w:r>
        <w:rPr>
          <w:rFonts w:ascii="Times New Roman"/>
          <w:b w:val="false"/>
          <w:i w:val="false"/>
          <w:color w:val="000000"/>
          <w:sz w:val="28"/>
        </w:rPr>
        <w:t>
      айналыста болмаған бағалы қағаздар бойынша бұйрықты орындау;</w:t>
      </w:r>
    </w:p>
    <w:p>
      <w:pPr>
        <w:spacing w:after="0"/>
        <w:ind w:left="0"/>
        <w:jc w:val="both"/>
      </w:pPr>
      <w:r>
        <w:rPr>
          <w:rFonts w:ascii="Times New Roman"/>
          <w:b w:val="false"/>
          <w:i w:val="false"/>
          <w:color w:val="000000"/>
          <w:sz w:val="28"/>
        </w:rPr>
        <w:t>
      регламентке кірмейтін уақытта бұйрықты орындау;</w:t>
      </w:r>
    </w:p>
    <w:p>
      <w:pPr>
        <w:spacing w:after="0"/>
        <w:ind w:left="0"/>
        <w:jc w:val="both"/>
      </w:pPr>
      <w:r>
        <w:rPr>
          <w:rFonts w:ascii="Times New Roman"/>
          <w:b w:val="false"/>
          <w:i w:val="false"/>
          <w:color w:val="000000"/>
          <w:sz w:val="28"/>
        </w:rPr>
        <w:t>
      регламентке кірмейтін уақытта бұйрықты қабылдау;</w:t>
      </w:r>
    </w:p>
    <w:p>
      <w:pPr>
        <w:spacing w:after="0"/>
        <w:ind w:left="0"/>
        <w:jc w:val="both"/>
      </w:pPr>
      <w:r>
        <w:rPr>
          <w:rFonts w:ascii="Times New Roman"/>
          <w:b w:val="false"/>
          <w:i w:val="false"/>
          <w:color w:val="000000"/>
          <w:sz w:val="28"/>
        </w:rPr>
        <w:t>
      ашылмаған операциялық күн кезінде бұйрықты орындау;</w:t>
      </w:r>
    </w:p>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p>
      <w:pPr>
        <w:spacing w:after="0"/>
        <w:ind w:left="0"/>
        <w:jc w:val="both"/>
      </w:pPr>
      <w:r>
        <w:rPr>
          <w:rFonts w:ascii="Times New Roman"/>
          <w:b w:val="false"/>
          <w:i w:val="false"/>
          <w:color w:val="000000"/>
          <w:sz w:val="28"/>
        </w:rPr>
        <w:t>
      рұқсат етілмеген операциялар бойынша бұйрықты орындау;</w:t>
      </w:r>
    </w:p>
    <w:p>
      <w:pPr>
        <w:spacing w:after="0"/>
        <w:ind w:left="0"/>
        <w:jc w:val="both"/>
      </w:pPr>
      <w:r>
        <w:rPr>
          <w:rFonts w:ascii="Times New Roman"/>
          <w:b w:val="false"/>
          <w:i w:val="false"/>
          <w:color w:val="000000"/>
          <w:sz w:val="28"/>
        </w:rPr>
        <w:t>
      4) ақпараттық жүйелерді пайдалануға байланысты тәуекелдер:</w:t>
      </w:r>
    </w:p>
    <w:p>
      <w:pPr>
        <w:spacing w:after="0"/>
        <w:ind w:left="0"/>
        <w:jc w:val="both"/>
      </w:pPr>
      <w:r>
        <w:rPr>
          <w:rFonts w:ascii="Times New Roman"/>
          <w:b w:val="false"/>
          <w:i w:val="false"/>
          <w:color w:val="000000"/>
          <w:sz w:val="28"/>
        </w:rPr>
        <w:t>
      компьютерлік вирустардың енуі;</w:t>
      </w:r>
    </w:p>
    <w:p>
      <w:pPr>
        <w:spacing w:after="0"/>
        <w:ind w:left="0"/>
        <w:jc w:val="both"/>
      </w:pPr>
      <w:r>
        <w:rPr>
          <w:rFonts w:ascii="Times New Roman"/>
          <w:b w:val="false"/>
          <w:i w:val="false"/>
          <w:color w:val="000000"/>
          <w:sz w:val="28"/>
        </w:rPr>
        <w:t>
      лицензиялық емес бағдарламаларды пайдалану;</w:t>
      </w:r>
    </w:p>
    <w:p>
      <w:pPr>
        <w:spacing w:after="0"/>
        <w:ind w:left="0"/>
        <w:jc w:val="both"/>
      </w:pPr>
      <w:r>
        <w:rPr>
          <w:rFonts w:ascii="Times New Roman"/>
          <w:b w:val="false"/>
          <w:i w:val="false"/>
          <w:color w:val="000000"/>
          <w:sz w:val="28"/>
        </w:rPr>
        <w:t>
      ақпараттық жүйелерге рұқсатсыз кіру;</w:t>
      </w:r>
    </w:p>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p>
      <w:pPr>
        <w:spacing w:after="0"/>
        <w:ind w:left="0"/>
        <w:jc w:val="both"/>
      </w:pPr>
      <w:r>
        <w:rPr>
          <w:rFonts w:ascii="Times New Roman"/>
          <w:b w:val="false"/>
          <w:i w:val="false"/>
          <w:color w:val="000000"/>
          <w:sz w:val="28"/>
        </w:rPr>
        <w:t>
      электрлік қоректендіру жүйесіндегі іркілістер;</w:t>
      </w:r>
    </w:p>
    <w:p>
      <w:pPr>
        <w:spacing w:after="0"/>
        <w:ind w:left="0"/>
        <w:jc w:val="both"/>
      </w:pPr>
      <w:r>
        <w:rPr>
          <w:rFonts w:ascii="Times New Roman"/>
          <w:b w:val="false"/>
          <w:i w:val="false"/>
          <w:color w:val="000000"/>
          <w:sz w:val="28"/>
        </w:rPr>
        <w:t>
      серверлерді кондиционирлеу жүйелерінің іркілістері;</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тасымалдағыштарды) ұрлау, әдейі бүлдіру;</w:t>
      </w:r>
    </w:p>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тасымалдағыштар) рұқсатсыз қол жеткізу;</w:t>
      </w:r>
    </w:p>
    <w:p>
      <w:pPr>
        <w:spacing w:after="0"/>
        <w:ind w:left="0"/>
        <w:jc w:val="both"/>
      </w:pPr>
      <w:r>
        <w:rPr>
          <w:rFonts w:ascii="Times New Roman"/>
          <w:b w:val="false"/>
          <w:i w:val="false"/>
          <w:color w:val="000000"/>
          <w:sz w:val="28"/>
        </w:rPr>
        <w:t>
      табиғи сипаттағы төтенше жағдай;</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судың басып қалуы;</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p>
      <w:pPr>
        <w:spacing w:after="0"/>
        <w:ind w:left="0"/>
        <w:jc w:val="both"/>
      </w:pPr>
      <w:r>
        <w:rPr>
          <w:rFonts w:ascii="Times New Roman"/>
          <w:b w:val="false"/>
          <w:i w:val="false"/>
          <w:color w:val="000000"/>
          <w:sz w:val="28"/>
        </w:rPr>
        <w:t>
      бағдарламалық қамтамасыз ету кодын жазу кезіндегі қате;</w:t>
      </w:r>
    </w:p>
    <w:p>
      <w:pPr>
        <w:spacing w:after="0"/>
        <w:ind w:left="0"/>
        <w:jc w:val="both"/>
      </w:pPr>
      <w:r>
        <w:rPr>
          <w:rFonts w:ascii="Times New Roman"/>
          <w:b w:val="false"/>
          <w:i w:val="false"/>
          <w:color w:val="000000"/>
          <w:sz w:val="28"/>
        </w:rPr>
        <w:t>
      әзірленген бағдарламалық қамтамасыз етуді енгізу кезіндегі қате;</w:t>
      </w:r>
    </w:p>
    <w:p>
      <w:pPr>
        <w:spacing w:after="0"/>
        <w:ind w:left="0"/>
        <w:jc w:val="both"/>
      </w:pPr>
      <w:r>
        <w:rPr>
          <w:rFonts w:ascii="Times New Roman"/>
          <w:b w:val="false"/>
          <w:i w:val="false"/>
          <w:color w:val="000000"/>
          <w:sz w:val="28"/>
        </w:rPr>
        <w:t>
      бағдарламалық қамтамасыз етуді әзірлеу және (немесе) енгізу кезіндегі қате.".</w:t>
      </w:r>
    </w:p>
    <w:bookmarkStart w:name="z8" w:id="3"/>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