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7f56" w14:textId="66f7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 Қазақстан Республикасы Ұлттық Банкі Басқармасының 2019 жылғы 26 шілдедегі № 123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25 мамырдағы № 44 қаулысы. Қазақстан Республикасының Әділет министрлігінде 2022 жылғы 4 маусымда № 28372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қағидаларын бекіту туралы" Қазақстан Республикасы Ұлттық Банкі Басқармасының 2019 жылғы 26 шілдедегі № 123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19205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145-бабына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319-бабы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88) тармақшасына сәйкес Қазақстан Республикасы Ұлттық Банкінің Басқармасы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бюджет қаражаты (шығыстар сметасы) есебінен ұсталатын мемлекеттік мекемелер қызметкерлерінің қызметтік іссапарлары кезіндегі өтемақы төлемдерінің мөлшерлерін және тәртібін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Іссапар уақытында қызметкердің жұмыс орны (лауазымы) және iссапар күндеріне сәйкес келетін жұмыс күндері үшін жалақысы сақталады.".</w:t>
      </w:r>
    </w:p>
    <w:bookmarkEnd w:id="4"/>
    <w:bookmarkStart w:name="z8" w:id="5"/>
    <w:p>
      <w:pPr>
        <w:spacing w:after="0"/>
        <w:ind w:left="0"/>
        <w:jc w:val="both"/>
      </w:pPr>
      <w:r>
        <w:rPr>
          <w:rFonts w:ascii="Times New Roman"/>
          <w:b w:val="false"/>
          <w:i w:val="false"/>
          <w:color w:val="000000"/>
          <w:sz w:val="28"/>
        </w:rPr>
        <w:t>
      2. Адам капиталын дамыту департаменті (Ш.Т. Тоқбергенова)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Ұлттық Банкінің ресми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Д.В. Вагаповқа жүктелсін.</w:t>
      </w:r>
    </w:p>
    <w:bookmarkEnd w:id="9"/>
    <w:bookmarkStart w:name="z13" w:id="10"/>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