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27be" w14:textId="2832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2017 жылғы 15 тамыздағы № 337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5 мамырдағы № 146 бұйрығы. Қазақстан Республикасының Әділет министрлігінде 2022 жылғы 12 мамырда № 28008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Өтінім беруші біліктілік талаптарына сәйкес келген және шарттық міндеттемелерді орындаған жағдайда облыстың немесе ауданның жергілікті атқарушы органы хаттамаға қол қойылған күннен бастап бес жұмыс күні ішінде халықаралық, республикалық және жергілікті маңызы бар балық шаруашылығы су айдындарын және (немесе) учаскелерін өтінім берушіге қайта бекітіп беру туралы шешім (қаулы) шығарады.".</w:t>
      </w:r>
    </w:p>
    <w:bookmarkStart w:name="z3"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w:t>
            </w:r>
          </w:p>
          <w:p>
            <w:pPr>
              <w:spacing w:after="20"/>
              <w:ind w:left="20"/>
              <w:jc w:val="both"/>
            </w:pPr>
            <w:r>
              <w:rPr>
                <w:rFonts w:ascii="Times New Roman"/>
                <w:b w:val="false"/>
                <w:i/>
                <w:color w:val="000000"/>
                <w:sz w:val="20"/>
              </w:rPr>
              <w:t xml:space="preserve">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