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66e" w14:textId="480a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тығыздығына және елді мекендердің қашықтығына қарай білім беру ұйымдары желісінің кепілдік берілген мемлекеттік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6 мамырдағы № 185 бұйрығы. Қазақстан Республикасының Әділет министрлігінде 2022 жылғы 11 мамырда № 27968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тығыздығына және елді мекендердің қашықтығына қарай білім білім беру ұйымдары желісінің кепілдік берілген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1) және 2) тармақшаларында көзделген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 желісінің кепілдік берілген мемлекеттік нормативі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Білім беру ұйымдары желісінің кепілдік берілген мемлекеттік нормативі Қазақстан Республикасының Конституциясымен және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кепілдік берілген азаматтардың тегін мектепалды, бастауыш, негізгі орта және жалпы орта білім алу құқығын қамтамасыз ету мақсатында айқындалған.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алушылар мен тәрбиеленушілердің жалпы саны әрбір ауылдық елді мекенде: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мектепалды жасындағы адамдардың саны 5 және одан көп болғанда, мектепке дейінгі тәрбие мен оқытудың жалпы білім беретін оқу бағдарламаларын іске асыратын мемлекеттік мектепке дейінгі ұйымның жұмыс істеуіне кепілдік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кіші мектеп жасындағы адамдардың саны 5 және одан көп болғанда, мемлекеттік бастауыш білім беретін ұйымның жұмыс істеуіне кепілдік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 және орта мектеп жасындағы адамдардың саны 41 және одан көп болғанда, мемлекеттік негізгі орта білім беретін ұйымның жұмыс істеуіне кепілдік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кіші, орта және жоғары мектеп жасындағы адамдардың саны 81 және одан көп болғанда, мемлекеттік жалпы орта білім беретін ұйымның жұмыс істеуіне кепілдік беріледі.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жерде тұрғындардың тегін мектепалды және орта білім алуға қажеттілігін қанағаттандыру үшін мемлекеттік мектепке дейінгі ұйымдар мен орта білім беретін ұйымдар желісінің жұмыс істеуіне кепілдік беріледі.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Тиісті жалпы білім беретін мектептері жоқ елді мекендерде тұратын 10 және одан да көп білім алушы болған жағдайда мемлекеттік жалпы білім беретін мектептер жанындағы интернаттардың жұмыс істеуіне кепілдік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 тұрғыны бар елді мекендерде тұратын білім алушылардың контингенті 150 және одан көп болған жағдайда ашылатын мемлекеттік мектеп-интернаттардың жұмыс істеуіне кепілдік беріледі.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Әрбір облыста: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санаториялық мектеп-интернаттардың;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арнайы білім беру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девиантты мінез-құлықты балаларға арналған мемлекеттік білім беру ұйымының жұмыс істеуіне кепілдік беріледі.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2-тармақта көрсетілген нормативтер білім беру ұйымдары мектепалды және мектеп жасындағы тәрбиеленушілер мен білім алушылар тұрақты тұратын елді мекендерден 3 километрден астам қашықтықта болған кезде белгіленеді.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арасында табиғи кедергілер (өзендер, көлдер) болған жағдайда мұндай білім беру ұйымдары бір-бірінен аз арақашықтықта құрылады.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