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9731d" w14:textId="27973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"Кәдеге жарату төлемін есептеу әдістемесін бекіту туралы" Қазақстан Республикасы Экология, геология және табиғи ресурстар министрінің міндетін атқарушының 2021 жылғы 2 қарашадағы № 448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2022 жылғы 29 сәуірдегі № 138 бұйрығы. Қазақстан Республикасының Әділет министрлігінде 2022 жылғы 3 мамырда № 27845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"Кәдеге жарату төлемін есептеу әдістемесін бекіту туралы" Қазақстан Республикасы Экология, геология және табиғи ресурстар министрінің міндетін атқарушының 2021 жылғы 2 қарашадағы № 448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25100 болып тіркелген)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Кәдеге жарату төлемін есептеу әдістемесіне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Қалдықтарды басқаруда мемлекеттік саясат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Экология, геология және табиғи</w:t>
            </w:r>
          </w:p>
          <w:p>
            <w:pPr>
              <w:spacing w:after="20"/>
              <w:ind w:left="20"/>
              <w:jc w:val="both"/>
            </w:pPr>
            <w:r>
              <w:rPr>
                <w:rFonts w:ascii="Times New Roman"/>
                <w:b w:val="false"/>
                <w:i/>
                <w:color w:val="000000"/>
                <w:sz w:val="20"/>
              </w:rPr>
              <w:t xml:space="preserve">            ресурстар министрінің м.а. </w:t>
            </w:r>
          </w:p>
          <w:p>
            <w:pPr>
              <w:spacing w:after="20"/>
              <w:ind w:left="20"/>
              <w:jc w:val="both"/>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Кожаниязов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w:t>
            </w:r>
            <w:r>
              <w:rPr>
                <w:rFonts w:ascii="Times New Roman"/>
                <w:b/>
                <w:i w:val="false"/>
                <w:color w:val="000000"/>
                <w:sz w:val="20"/>
              </w:rPr>
              <w:t>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Ауыл шаруашылығы</w:t>
            </w:r>
          </w:p>
          <w:p>
            <w:pPr>
              <w:spacing w:after="20"/>
              <w:ind w:left="20"/>
              <w:jc w:val="both"/>
            </w:pPr>
            <w:r>
              <w:rPr>
                <w:rFonts w:ascii="Times New Roman"/>
                <w:b/>
                <w:i w:val="false"/>
                <w:color w:val="000000"/>
                <w:sz w:val="20"/>
              </w:rPr>
              <w:t>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w:t>
            </w:r>
            <w:r>
              <w:rPr>
                <w:rFonts w:ascii="Times New Roman"/>
                <w:b/>
                <w:i w:val="false"/>
                <w:color w:val="000000"/>
                <w:sz w:val="20"/>
              </w:rPr>
              <w:t>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 xml:space="preserve">Индустрия және инфрақұрылымдық </w:t>
            </w:r>
          </w:p>
          <w:p>
            <w:pPr>
              <w:spacing w:after="20"/>
              <w:ind w:left="20"/>
              <w:jc w:val="both"/>
            </w:pPr>
            <w:r>
              <w:rPr>
                <w:rFonts w:ascii="Times New Roman"/>
                <w:b/>
                <w:i w:val="false"/>
                <w:color w:val="000000"/>
                <w:sz w:val="20"/>
              </w:rPr>
              <w:t>даму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w:t>
            </w:r>
            <w:r>
              <w:rPr>
                <w:rFonts w:ascii="Times New Roman"/>
                <w:b/>
                <w:i w:val="false"/>
                <w:color w:val="000000"/>
                <w:sz w:val="20"/>
              </w:rPr>
              <w:t>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Қаржы</w:t>
            </w:r>
            <w:r>
              <w:rPr>
                <w:rFonts w:ascii="Times New Roman"/>
                <w:b/>
                <w:i w:val="false"/>
                <w:color w:val="000000"/>
                <w:sz w:val="20"/>
              </w:rPr>
              <w:t xml:space="preserve">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w:t>
            </w:r>
            <w:r>
              <w:rPr>
                <w:rFonts w:ascii="Times New Roman"/>
                <w:b/>
                <w:i w:val="false"/>
                <w:color w:val="000000"/>
                <w:sz w:val="20"/>
              </w:rPr>
              <w:t>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Сауда және интеграция</w:t>
            </w:r>
          </w:p>
          <w:p>
            <w:pPr>
              <w:spacing w:after="20"/>
              <w:ind w:left="20"/>
              <w:jc w:val="both"/>
            </w:pPr>
            <w:r>
              <w:rPr>
                <w:rFonts w:ascii="Times New Roman"/>
                <w:b/>
                <w:i w:val="false"/>
                <w:color w:val="000000"/>
                <w:sz w:val="20"/>
              </w:rPr>
              <w:t>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w:t>
            </w:r>
            <w:r>
              <w:rPr>
                <w:rFonts w:ascii="Times New Roman"/>
                <w:b/>
                <w:i w:val="false"/>
                <w:color w:val="000000"/>
                <w:sz w:val="20"/>
              </w:rPr>
              <w:t>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Ұлттық</w:t>
            </w:r>
            <w:r>
              <w:rPr>
                <w:rFonts w:ascii="Times New Roman"/>
                <w:b/>
                <w:i w:val="false"/>
                <w:color w:val="000000"/>
                <w:sz w:val="20"/>
              </w:rPr>
              <w:t xml:space="preserve"> экономика</w:t>
            </w:r>
          </w:p>
          <w:p>
            <w:pPr>
              <w:spacing w:after="20"/>
              <w:ind w:left="20"/>
              <w:jc w:val="both"/>
            </w:pPr>
            <w:r>
              <w:rPr>
                <w:rFonts w:ascii="Times New Roman"/>
                <w:b/>
                <w:i w:val="false"/>
                <w:color w:val="000000"/>
                <w:sz w:val="20"/>
              </w:rPr>
              <w:t>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 xml:space="preserve">табиғи ресурстар министрінің </w:t>
            </w:r>
            <w:r>
              <w:br/>
            </w:r>
            <w:r>
              <w:rPr>
                <w:rFonts w:ascii="Times New Roman"/>
                <w:b w:val="false"/>
                <w:i w:val="false"/>
                <w:color w:val="000000"/>
                <w:sz w:val="20"/>
              </w:rPr>
              <w:t>м.а.</w:t>
            </w:r>
            <w:r>
              <w:br/>
            </w:r>
            <w:r>
              <w:rPr>
                <w:rFonts w:ascii="Times New Roman"/>
                <w:b w:val="false"/>
                <w:i w:val="false"/>
                <w:color w:val="000000"/>
                <w:sz w:val="20"/>
              </w:rPr>
              <w:t>2022 жылғы 29 сәуірдегі № 138</w:t>
            </w:r>
            <w:r>
              <w:br/>
            </w:r>
            <w:r>
              <w:rPr>
                <w:rFonts w:ascii="Times New Roman"/>
                <w:b w:val="false"/>
                <w:i w:val="false"/>
                <w:color w:val="000000"/>
                <w:sz w:val="20"/>
              </w:rPr>
              <w:t>Кәдеге жарату төлемін есептеу</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Автокөлік құралдарына және өздігінен жүретін ауыл шаруашылығы техникасына қатысты кәдеге жарату төлемінің базалық ставкасы және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Көлік құралдарының және өздігінен жүретін ауыл шаруашылығы техникасының түрлері және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Базалық мөлшерлеме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Коэффициент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М1 санаттағы, оның ішінде өтімділігі жоғары G санаттағы көлік құралдары, сондай-ақ квадроциклдерді, қарбалшықтажүргіш, қар жүргіштерді, мотовездеходтарды және трициклдерді қоспағанда, СЭҚ ТН 8703 кодтары тобына енгізілген өзге де қозғалыс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күш қондырғысы бар көлік құралдарын қоспағанда, электр қозғалтқыштары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көлемімен: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см3-қа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см3-тан 2 000 см3-қа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см3-тан 3 000 см3-қа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 см3-тан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N1, N2, N3 санатындағы, оның ішінде G санатындағы жүріп өту мүмкіндігі жоғары көлік құралдары, сондай-ақ СЭҚ ТН 8701 20 101, 8701 20 901, 8704 және 8705 кодтарының топтарына енгізілген өзге де қозғалыс құралдары ("X" санатындағы коммуналдық-жинау машиналарын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күш қондырғысы бар көлік құралдарын қоспағанда, электр қозғалтқыштары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(техникалық рұқсат етілген ең жоғары) массасы: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тоннаға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тоннадан 3,5 тоннаға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тоннадан 5 тоннаға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тоннадан 8 тоннаға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тоннадан 12 тоннаға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Ершікті тартқыштардан басқа, 12,01 тоннадан 20 тоннаға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Ершікті тартқыштардан басқа, 20,01 тоннадан 50 тоннаға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Ершікті тартқыштар</w:t>
            </w:r>
          </w:p>
          <w:p>
            <w:pPr>
              <w:spacing w:after="20"/>
              <w:ind w:left="20"/>
              <w:jc w:val="both"/>
            </w:pPr>
            <w:r>
              <w:rPr>
                <w:rFonts w:ascii="Times New Roman"/>
                <w:b w:val="false"/>
                <w:i w:val="false"/>
                <w:color w:val="000000"/>
                <w:sz w:val="20"/>
              </w:rPr>
              <w:t>
12 тоннадан 50 тоннаға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М2, М3 санатындағы, оның ішінде G санатындағы жүріп өту мүмкіндігі жоғары көлік құралдары, сондай-ақ СЭҚ ТН 8702 кодтары тобына енгізілген өзге де қозғалыс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күш қондырғысы бар көлік құралдарын қоспағанда, электр қозғалтқыштары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көлемімен: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см3-қа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 см3-тан 5 000 см3-қа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 см3-тан 10 000 см3-қа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 см3-тан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Тракторлар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номиналды қуатымен: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а.к.-ге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а.к.-дан 130 а.к.-ге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а.к.-дан 220 а.к.-ге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а.к.-дан 340 а.к.-ге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а.к.-дан 380 а.к.-ге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а.к.-дан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Астық жинайтын комбайндар, жемшөп жинайтын комбайндар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номиналды қуатымен: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а.к.-ге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а.к.-дан 220 а.к.-ге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а.к.-дан 255 а.к.-ге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а.к.-дан 325 а.к.-ге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а.к.-дан 400 а.к.-ге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а.к.-дан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Ескертпе: * автомобиль көлігі саласында мемлекеттік бақылауды жүзеге асыратын уәкілетті орган берген жүктердің халықаралық автомобиль тасымалдарын жүзеге асыруға рұқсат куәлігі болған кезде көлік компаниялары импорттайтын халықаралық тасымалдар үшін пайдаланылатын ершікті тартқыштарға қатысты 2025 жылғы 1 қаңтарға дейін 0 коэффициенті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