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87eb" w14:textId="dcb87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27 сәуірдегі № 138 бұйрығы. Қазақстан Республикасының Әділет министрлігінде 2022 жылғы 29 сәуірде № 27834 болып тіркелді. Күші жойылды - Қазақстан Республикасы Еңбек және халықты әлеуметтік қорғау министрінің 2023 жылғы 23 қарашадағы № 485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23.11.2023 </w:t>
      </w:r>
      <w:r>
        <w:rPr>
          <w:rFonts w:ascii="Times New Roman"/>
          <w:b w:val="false"/>
          <w:i w:val="false"/>
          <w:color w:val="ff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15629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w:t>
      </w:r>
      <w:r>
        <w:rPr>
          <w:rFonts w:ascii="Times New Roman"/>
          <w:b/>
          <w:i w:val="false"/>
          <w:color w:val="000000"/>
          <w:sz w:val="28"/>
        </w:rPr>
        <w:t>БҰЙЫРAМЫН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осы бұйрықпен бекітілген Салымшылардың (алушылардың) міндетті зейнетақы жарналары, міндетті кәсіптік зейнетақы жарналары бойынша дерекқорын қалыптастыру қағидалары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w:t>
      </w:r>
      <w:r>
        <w:rPr>
          <w:rFonts w:ascii="Times New Roman"/>
          <w:b w:val="false"/>
          <w:i w:val="false"/>
          <w:color w:val="000000"/>
          <w:sz w:val="28"/>
        </w:rPr>
        <w:t>тізімінде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Салымшылардың (алушылардың) міндетті зейнетақы жарналары, міндетті кәсіптік зейнетақы жарналары бойынша дерекқорын қалыптастыру қағидалары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 (бұдан әрі – Қағидалар) "Қазақстан Республикасында зейнетақымен қамсыздандыру туралы" Қазақстан Республикасы Заңының (бұдан әрі – Заң)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салымшылардың (алушылардың) міндетті зейнетақы жарналары, міндетті кәсіптік зейнетақы жарналары бойынша дерекқорын (бұдан әрі - дерекқор) қалыптастыру тәртібін айқындайды.";</w:t>
      </w:r>
    </w:p>
    <w:bookmarkStart w:name="z5" w:id="2"/>
    <w:p>
      <w:pPr>
        <w:spacing w:after="0"/>
        <w:ind w:left="0"/>
        <w:jc w:val="both"/>
      </w:pPr>
      <w:r>
        <w:rPr>
          <w:rFonts w:ascii="Times New Roman"/>
          <w:b w:val="false"/>
          <w:i w:val="false"/>
          <w:color w:val="000000"/>
          <w:sz w:val="28"/>
        </w:rPr>
        <w:t xml:space="preserve">
      осы бұйрықпен бекітілген Орталық атқарушы орган мен бірыңғай жинақтаушы зейнетақы қорының ақпараттық жүйелері арасында жеке зейнетақы шоттары қозғалыстар, сондай-ақ зейнетақы төлемін алушылар мен олардың мөлшері туралы ақпарат алмасу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Республикасында зейнетақымен қамсыздандыру туралы" Қазақстан Республикасы Заңының (бұдан әрі – Заң) 7-бабының </w:t>
      </w:r>
      <w:r>
        <w:rPr>
          <w:rFonts w:ascii="Times New Roman"/>
          <w:b w:val="false"/>
          <w:i w:val="false"/>
          <w:color w:val="000000"/>
          <w:sz w:val="28"/>
        </w:rPr>
        <w:t>8) тармақшасына</w:t>
      </w:r>
      <w:r>
        <w:rPr>
          <w:rFonts w:ascii="Times New Roman"/>
          <w:b w:val="false"/>
          <w:i w:val="false"/>
          <w:color w:val="000000"/>
          <w:sz w:val="28"/>
        </w:rPr>
        <w:t xml:space="preserve">, 34-бабы 9-тармағының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орталық атқарушы орган мен бірыңғай жинақтаушы зейнетақы қорының ақпараттық жүйелері арасында жеке зейнетақы шоттары бойынша қозғалыс туралы, сондай-ақ зейнетақы төлемдерін алушылар мен олардың мөлшері туралы ақпаратпен алмасу тәртібін айқындайды.";</w:t>
      </w:r>
    </w:p>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 әлеуметтік-еңбек саласының бірыңғай ақпараттық жүйесі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көрсетуді ұсыну мақсатында ведомствоаралық өзара іс-қимылға арналған аппараттық-бағдарламалық кешен;".</w:t>
      </w:r>
    </w:p>
    <w:bookmarkStart w:name="z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Е.Е. Біржановқа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Цифрлық даму, инновациялар және аэроғарыш </w:t>
            </w:r>
          </w:p>
          <w:p>
            <w:pPr>
              <w:spacing w:after="20"/>
              <w:ind w:left="20"/>
              <w:jc w:val="both"/>
            </w:pPr>
            <w:r>
              <w:rPr>
                <w:rFonts w:ascii="Times New Roman"/>
                <w:b/>
                <w:i w:val="false"/>
                <w:color w:val="000000"/>
                <w:sz w:val="20"/>
              </w:rPr>
              <w:t>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