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bf66" w14:textId="e75b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411 бұйрығы. Қазақстан Республикасының Әділет министрлігінде 2022 жылғы 14 сәуірде № 27571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167-бабының </w:t>
      </w:r>
      <w:r>
        <w:rPr>
          <w:rFonts w:ascii="Times New Roman"/>
          <w:b w:val="false"/>
          <w:i w:val="false"/>
          <w:color w:val="000000"/>
          <w:sz w:val="28"/>
        </w:rPr>
        <w:t>6-тармағына</w:t>
      </w:r>
      <w:r>
        <w:rPr>
          <w:rFonts w:ascii="Times New Roman"/>
          <w:b w:val="false"/>
          <w:i w:val="false"/>
          <w:color w:val="000000"/>
          <w:sz w:val="28"/>
        </w:rPr>
        <w:t xml:space="preserve">, 170-бабының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171-бабына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Бақылау-касса машиналарын қолдану қағидалары (бұдан әрі – Қағидалар)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 қолдану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Көрсетілетін қызметті беруші бақылау-касса машинасын тіркеу есебіне қоюды фискалдық деректер операторының мәліметтерін не Салық кодексінің 167-бабы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2 (екі) жұмыс күні ішінде жүзеге асырады.</w:t>
      </w:r>
    </w:p>
    <w:p>
      <w:pPr>
        <w:spacing w:after="0"/>
        <w:ind w:left="0"/>
        <w:jc w:val="both"/>
      </w:pPr>
      <w:r>
        <w:rPr>
          <w:rFonts w:ascii="Times New Roman"/>
          <w:b w:val="false"/>
          <w:i w:val="false"/>
          <w:color w:val="000000"/>
          <w:sz w:val="28"/>
        </w:rPr>
        <w:t>
      Фискалдық деректер операторы деректерді тіркеу және (немесе) беру функциясы бар бақылау-касса машиналары туралы мәліметтерді ұсынған кезде мәліметтерді өңдеу электрондық түрде жүзеге асырылады.</w:t>
      </w:r>
    </w:p>
    <w:p>
      <w:pPr>
        <w:spacing w:after="0"/>
        <w:ind w:left="0"/>
        <w:jc w:val="both"/>
      </w:pPr>
      <w:r>
        <w:rPr>
          <w:rFonts w:ascii="Times New Roman"/>
          <w:b w:val="false"/>
          <w:i w:val="false"/>
          <w:color w:val="000000"/>
          <w:sz w:val="28"/>
        </w:rPr>
        <w:t>
      Көрсетілетін қызметті алушы осы Қағидаларға мемлекеттік көрсетілетін қызмет стандартының 8-тармағында көзделген тізбеге сәйкес толық құжаттар топтамасын ұсынбаған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Республикасындағы көлiк туралы" Қазақстан Республикасы Заңының 13-бабына сәйкес автоматтандырылған тәсілмен ресімделген пайдаланылмаған теміржол, автобус, әуе билеттері үшін ақшалай есеп айырысуларды қайтару операцияларына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Мемлекеттік қызметтерді тікелей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5 (екі)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және (немесе)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негіз бар.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бақылау-касса машиналарының мемлекеттік тізіліміне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Бақылау-касса машиналарының модельдерін бақылау-касса машиналарының мемлекеттік тізіліміне (тізілімнен) енгізу (алып тастау) қағидасы (бұдан әрі – Қағидалар) "Салық және бюджетке төленетін басқа да міндетті төлемдер туралы" Қазақстан Республикасы Кодексінің (Салық кодексі) 170-бабы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машиналарының модельдерін бақылау-касса машиналарының мемлекеттік тізіліміне (тізілімнен) енгізу (алып тастау)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Мемлекеттік қызмет көрсету нәтижелерімен келіспеген жағдайларда көрсетілетін қызметті алушы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Қазақстан Республикасы Кодексінің (Салық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171-бабына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ақшалай есеп айырысулар – тауар сатып алу, жұмыстарды орындау, қызметтерді көрсету үшін қолма-қол ақша және (немесе) төлем карточкаларын және (немесе) мобильдік төлемдерді пайдалана отырып есеп айырысулар арқылы жүзеге асырылатын есеп айырысулар;";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қағидалары (бұдан әрі – Қағидалар) "Салық және бюджетке төленетін басқа да міндетті төлемдер туралы" (Салық кодексі) Қазақстан Республикасы Кодексінің 167-бабы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МКК АЖ мен ФДО АЖ арасындағы ақпараттық алмасудың техникалық талаптары "Ақпараттандыру туралы" Қазақстан Республикасының Заңына сәйкес ЭҮСШ, ЭҮШ арқылы МКК АЖ-ның ФДО АЖ-мен интеграциясы бойынша жеке Келісіммен айқындалған.".</w:t>
      </w:r>
    </w:p>
    <w:bookmarkStart w:name="z19"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0"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w:t>
            </w:r>
            <w:r>
              <w:rPr>
                <w:rFonts w:ascii="Times New Roman"/>
                <w:b/>
                <w:i w:val="false"/>
                <w:color w:val="000000"/>
                <w:sz w:val="20"/>
              </w:rPr>
              <w:t>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411 бұйрығына</w:t>
            </w:r>
            <w:r>
              <w:br/>
            </w:r>
            <w:r>
              <w:rPr>
                <w:rFonts w:ascii="Times New Roman"/>
                <w:b w:val="false"/>
                <w:i w:val="false"/>
                <w:color w:val="000000"/>
                <w:sz w:val="20"/>
              </w:rPr>
              <w:t>қосымша</w:t>
            </w:r>
            <w:r>
              <w:br/>
            </w: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22" w:id="2"/>
    <w:p>
      <w:pPr>
        <w:spacing w:after="0"/>
        <w:ind w:left="0"/>
        <w:jc w:val="left"/>
      </w:pPr>
      <w:r>
        <w:rPr>
          <w:rFonts w:ascii="Times New Roman"/>
          <w:b/>
          <w:i w:val="false"/>
          <w:color w:val="000000"/>
        </w:rPr>
        <w:t xml:space="preserve"> "Бақылау-касса машиналарын (БКМ) есепке қою және есептен шығару" мемлекеттік көрсетілетін қызмет стандарты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аппараттық-бағдарламалық кешендерді қоспағанда, деректерді беру функциясы жоқ БКМ қою кезінде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Деректерді беру функциясы жоқ аппараттық-бағдарламалық кешен болып табылатын БКМ есепке қою кезінде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Аппараттық-бағдарламалық кешенді қоспағанда, деректерді беру функциясы жоқ БКМ инасын есептен шығару үшін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Аппараттық–бағдарламалық кешен болып табылатын деректерді беру функциясы жоқ БКМ есептен шығару үшін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ерекшеліктері ескеріле отырып қойылатын өзге де талаптар мемлекеттік қызметті, оның ішінде электрондық нысанда көрсетілетін қызметті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 – 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