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b3a5" w14:textId="c62b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Қазақстан Республикасы Денсаулық сақтау министрінің 2020 жылғы 11 желтоқсандағы № ҚР ДСМ-248/2020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7 сәуірдегі № ҚР ДСМ- 35 бұйрығы. Қазақстан Республикасының Әділет министрлігінде 2022 жылғы 12 сәуірде № 27526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Қазақстан Республикасы Денсаулық сақтау министрінің 2020 жылғы 11 желтоқсандағы № ҚР ДСМ-248/2020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21772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238-бабының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1-қосымшада бекітілген Дәрілік заттар мен медициналық бұйымдарға клиникалық зерттеулер, тірі организмнен тыс (in vitro) диагностика жасау үшін медициналық бұйымдарға Клиникалық-зертханалық сынақтар жүргізу қағидаларында және клиникалық базаларға қойылатын талаптар және "Фармакологиялық және дәрілік заттарға, медициналық бұйымдарға клиникалық зерттеулер және (немесе) сынақтар жүргізуге рұқсат беру" (бұдан әрі – Қағидалар)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 және клиникалық базалар мен мемлекеттік көрсетілетін қызметтерге қойылатын талаптары (бұдан әрі – Қағидалар) – "Халық денсаулығы және денсаулық сақтау жүйесі туралы" Қазақстан Республикасының Кодексінің (бұдан әрі – Кодекс) 238-бабының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әзірленді және тірі организмнен тыс (in vitro) диагностика үшін дәрілік заттар мен медициналық бұйымдарға клиникалық-зертханалық сынаулар жүргізу тәртібін айқындайды, сондай-ақ клиникалық базаларға және "Фармакологиялық және дәрілік заттарға, медициналық бұйымдарға клиникалық зерттеулер және (немесе) сынаулар жүргізуге рұқсат беру" мемлекеттік қызметтердің көрсетуге қойылатын талаптарды белгілейді.</w:t>
      </w:r>
    </w:p>
    <w:bookmarkStart w:name="z5" w:id="0"/>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0"/>
    <w:p>
      <w:pPr>
        <w:spacing w:after="0"/>
        <w:ind w:left="0"/>
        <w:jc w:val="both"/>
      </w:pPr>
      <w:r>
        <w:rPr>
          <w:rFonts w:ascii="Times New Roman"/>
          <w:b w:val="false"/>
          <w:i w:val="false"/>
          <w:color w:val="000000"/>
          <w:sz w:val="28"/>
        </w:rPr>
        <w:t>
      1) ақпараттандырылған келісім – зерттеу субъектісінің немесе оның заңды өкілінің шешім қабылдау үшін барлық маңызды зерттеу аспектілері туралы ақпараттар алынған соң нақты зерттеуге қатысатынын өздігімен растау рәсімі. Хабардар етілген келсім хат уәкілетті орган бекіткен нысан бойынша ресімделеді.</w:t>
      </w:r>
    </w:p>
    <w:p>
      <w:pPr>
        <w:spacing w:after="0"/>
        <w:ind w:left="0"/>
        <w:jc w:val="both"/>
      </w:pPr>
      <w:r>
        <w:rPr>
          <w:rFonts w:ascii="Times New Roman"/>
          <w:b w:val="false"/>
          <w:i w:val="false"/>
          <w:color w:val="000000"/>
          <w:sz w:val="28"/>
        </w:rPr>
        <w:t>
      2) биологиялық эквиваленттілік (биоэквиваленттілік) – әсер етуші заттың жылдамдығы мен дәрежесі бойынша елеулі айырмашылықтардың болмауы немесе фармацевтикалық баламалардың немесе фармацевтикалық баламалардың әсер етуші зат молекуласының белсенді бөлігі тиісті дизайнмен зерттеуде ұқсас жағдайларда бірдей молярлық дозада енгізген кезде өз әсер ету орнында қолжетімді болады;</w:t>
      </w:r>
    </w:p>
    <w:p>
      <w:pPr>
        <w:spacing w:after="0"/>
        <w:ind w:left="0"/>
        <w:jc w:val="both"/>
      </w:pPr>
      <w:r>
        <w:rPr>
          <w:rFonts w:ascii="Times New Roman"/>
          <w:b w:val="false"/>
          <w:i w:val="false"/>
          <w:color w:val="000000"/>
          <w:sz w:val="28"/>
        </w:rPr>
        <w:t>
      3) биоэквиваленттілікті зерттеу – тестіленетін препарат пен салыстыру препараты арасындағы фармакокинетикалық баламалылықты анықтау мақсатында биожетімділікті салыстырмалы зерттеу;</w:t>
      </w:r>
    </w:p>
    <w:p>
      <w:pPr>
        <w:spacing w:after="0"/>
        <w:ind w:left="0"/>
        <w:jc w:val="both"/>
      </w:pPr>
      <w:r>
        <w:rPr>
          <w:rFonts w:ascii="Times New Roman"/>
          <w:b w:val="false"/>
          <w:i w:val="false"/>
          <w:color w:val="000000"/>
          <w:sz w:val="28"/>
        </w:rPr>
        <w:t>
      4) дәрілік заттар – адамның ауруларын емдеуге, профилактикасына немесе фармакологиялық, иммунологиялық немесе метаболизмдік әсері арқылы оның физиологиялық функциясын қалпына келтіруге, түзетуге немесе өзгертуге немесе адамның аурулары мен жай-күйін диагностикалауға арналған адам организмімен байланысқа түсетін заттары бар немесе заттар комбинациясын білдіретін зат;</w:t>
      </w:r>
    </w:p>
    <w:p>
      <w:pPr>
        <w:spacing w:after="0"/>
        <w:ind w:left="0"/>
        <w:jc w:val="both"/>
      </w:pPr>
      <w:r>
        <w:rPr>
          <w:rFonts w:ascii="Times New Roman"/>
          <w:b w:val="false"/>
          <w:i w:val="false"/>
          <w:color w:val="000000"/>
          <w:sz w:val="28"/>
        </w:rPr>
        <w:t>
      5) жағымсыз құбылыс – қолданылуында себеп-салдары байланысына тәуелсіз дәрілік препарат тағайындалған пациенттің немесе клиникалық зерттеу субъектісінің денсаулығы жағдайындағы кез келген жағымсыз немесе күтпеген өзгерісі;</w:t>
      </w:r>
    </w:p>
    <w:p>
      <w:pPr>
        <w:spacing w:after="0"/>
        <w:ind w:left="0"/>
        <w:jc w:val="both"/>
      </w:pPr>
      <w:r>
        <w:rPr>
          <w:rFonts w:ascii="Times New Roman"/>
          <w:b w:val="false"/>
          <w:i w:val="false"/>
          <w:color w:val="000000"/>
          <w:sz w:val="28"/>
        </w:rPr>
        <w:t>
      6) жайсыз жағдай (инцидент) – кез келген ақау және (немесе) сипаттаманың нашарлауы, немесе медициналық бұйымның қолданысының бұзылуы немесе медициналық бұйымға ілеспе ақпараттың (құжаттаманың) жеткіліксіздігі мен дұрыс еместігі, немесе тікелей жанама түрде өлімге немесе үшінші тұлғаның денсаулығының нашарлауына алып келген не алып келетін қолдану жөніндегі нұсқаулықта көрсетілмеген кері әсерлер, қолданушылардың (бұл ретте аурудың қауіпті нашарлауы деп өмірге қауіп тудыратын аурулар, ағзаның қатты зардап шегуі немесе дене құрылысының қатты зақымдануы, емдеуге жатқызуды немесе емдеуге жатқызылған пациенттің стационарда болуын айтарлықтай ұзартуды қажет ететін жағдайы, ұрықтың функционалдық бұзылуы, оның өлімі, туа біткен аномалия және тұқым қуалайтын жарақат түсініледі);</w:t>
      </w:r>
    </w:p>
    <w:p>
      <w:pPr>
        <w:spacing w:after="0"/>
        <w:ind w:left="0"/>
        <w:jc w:val="both"/>
      </w:pPr>
      <w:r>
        <w:rPr>
          <w:rFonts w:ascii="Times New Roman"/>
          <w:b w:val="false"/>
          <w:i w:val="false"/>
          <w:color w:val="000000"/>
          <w:sz w:val="28"/>
        </w:rPr>
        <w:t>
      7) жеке тіркеу картасы (бұдан әрі – ЖТК) – Хаттамада көзделген және әрбір зерттеу субъектісі бойынша демеушіге берілуге тиіс барлық ақпаратты енгізуге арналған қағаз және (немесе) электрондық жеткізгіштегі құжат;</w:t>
      </w:r>
    </w:p>
    <w:p>
      <w:pPr>
        <w:spacing w:after="0"/>
        <w:ind w:left="0"/>
        <w:jc w:val="both"/>
      </w:pPr>
      <w:r>
        <w:rPr>
          <w:rFonts w:ascii="Times New Roman"/>
          <w:b w:val="false"/>
          <w:i w:val="false"/>
          <w:color w:val="000000"/>
          <w:sz w:val="28"/>
        </w:rPr>
        <w:t>
      8) зерттелетін дәрілік зат – плацебоны қоса алғанда, сынаққа қатысатын немесе салыстыру үшін қолданылатын дәрілік зат, сондай-ақ тіркелген дәрілік зат (қолданылу тәсілі бекітілгеннен өзгеше, сондай-ақ жаңа көрсеткіш бойынша қолданылу немесе бекітілген көрсеткіш бойынша қосымша ақпарат алу үшін);</w:t>
      </w:r>
    </w:p>
    <w:p>
      <w:pPr>
        <w:spacing w:after="0"/>
        <w:ind w:left="0"/>
        <w:jc w:val="both"/>
      </w:pPr>
      <w:r>
        <w:rPr>
          <w:rFonts w:ascii="Times New Roman"/>
          <w:b w:val="false"/>
          <w:i w:val="false"/>
          <w:color w:val="000000"/>
          <w:sz w:val="28"/>
        </w:rPr>
        <w:t>
      9) зерттеушінің брошюрасы-зерттелетін препаратты адамда зерттеу үшін маңызы бар клиникалық және клиникаға дейінгі (клиникалық емес) зерттеу нәтижелерінің жиынтық баяндалуы;</w:t>
      </w:r>
    </w:p>
    <w:p>
      <w:pPr>
        <w:spacing w:after="0"/>
        <w:ind w:left="0"/>
        <w:jc w:val="both"/>
      </w:pPr>
      <w:r>
        <w:rPr>
          <w:rFonts w:ascii="Times New Roman"/>
          <w:b w:val="false"/>
          <w:i w:val="false"/>
          <w:color w:val="000000"/>
          <w:sz w:val="28"/>
        </w:rPr>
        <w:t>
      10) интервенциялық зерттеу-зерттеу субъектісі ретінде адам қатысатын зерттеу, онда зерттеуші дәрігер клиникалық зерттеулер жүргізу тәртібіне сәйкес келетін интервенциялық клиникалық зерттеу хаттамасының негізінде зерттеу субъектілеріне арнайы араласу тағайындайды;</w:t>
      </w:r>
    </w:p>
    <w:p>
      <w:pPr>
        <w:spacing w:after="0"/>
        <w:ind w:left="0"/>
        <w:jc w:val="both"/>
      </w:pPr>
      <w:r>
        <w:rPr>
          <w:rFonts w:ascii="Times New Roman"/>
          <w:b w:val="false"/>
          <w:i w:val="false"/>
          <w:color w:val="000000"/>
          <w:sz w:val="28"/>
        </w:rPr>
        <w:t>
      11) интервенциялық емес клиникалық зерттеу-дәрілік препарат мемлекеттік тіркелгеннен кейін жүргізілетін және медициналық қолдану жөніндегі нұсқаулыққа сәйкес медициналық практика шеңберінде тағайындалатын зерттеу;</w:t>
      </w:r>
    </w:p>
    <w:p>
      <w:pPr>
        <w:spacing w:after="0"/>
        <w:ind w:left="0"/>
        <w:jc w:val="both"/>
      </w:pPr>
      <w:r>
        <w:rPr>
          <w:rFonts w:ascii="Times New Roman"/>
          <w:b w:val="false"/>
          <w:i w:val="false"/>
          <w:color w:val="000000"/>
          <w:sz w:val="28"/>
        </w:rPr>
        <w:t>
      12) клиникалық зерттеу-субъект ретінде адамның қатысуымен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жүргізілетін зерттеу;</w:t>
      </w:r>
    </w:p>
    <w:p>
      <w:pPr>
        <w:spacing w:after="0"/>
        <w:ind w:left="0"/>
        <w:jc w:val="both"/>
      </w:pPr>
      <w:r>
        <w:rPr>
          <w:rFonts w:ascii="Times New Roman"/>
          <w:b w:val="false"/>
          <w:i w:val="false"/>
          <w:color w:val="000000"/>
          <w:sz w:val="28"/>
        </w:rPr>
        <w:t>
      13) клиникалық зерттеудің бірінші кезеңі-зерттелетін препараттың жоғары уыттылығы дені сау еріктілерде зерттеу жүргізуді әдепке жатпайтынын, қауіпсіздігін, емдік әсерінің, фармакокинетикалық және фармакодинамикалық сипаттамаларының бар-жоғын анықтау мақсатында зерттеуді жүргізуді жасаған кезде тиісті аурудан зардап шегетін дені сау еріктілерде немесе пациенттерде жүргізілетін дәрілік заттың бірінші сынағы;</w:t>
      </w:r>
    </w:p>
    <w:p>
      <w:pPr>
        <w:spacing w:after="0"/>
        <w:ind w:left="0"/>
        <w:jc w:val="both"/>
      </w:pPr>
      <w:r>
        <w:rPr>
          <w:rFonts w:ascii="Times New Roman"/>
          <w:b w:val="false"/>
          <w:i w:val="false"/>
          <w:color w:val="000000"/>
          <w:sz w:val="28"/>
        </w:rPr>
        <w:t>
      14) клиникалық зерттеудің екінші фазасы-нақты ауруы бар пациенттерде зерттелетін дәрілік заттың тиімділігі мен қысқа мерзімді қауіпсіздігін бағалау мақсатындағы зерттеу, сондай-ақ оның дәлелі дәрілік заттың клиникалық тиімділігін анықтау және пациенттер тобында сынау кезінде дозалаудың терапиялық деңгейін анықтау;</w:t>
      </w:r>
    </w:p>
    <w:p>
      <w:pPr>
        <w:spacing w:after="0"/>
        <w:ind w:left="0"/>
        <w:jc w:val="both"/>
      </w:pPr>
      <w:r>
        <w:rPr>
          <w:rFonts w:ascii="Times New Roman"/>
          <w:b w:val="false"/>
          <w:i w:val="false"/>
          <w:color w:val="000000"/>
          <w:sz w:val="28"/>
        </w:rPr>
        <w:t>
      15) клиникалық зерттеудің төртінші фазасы-дәрілік зат тіркелгеннен және нарыққа түскеннен кейін оның терапиялық тиімділігін, оны одан әрі пайдалану стратегиясын растау мақсатында, сондай-ақ зерттелетін дәрілік заттың жанама әсерлерінің спектрі мен жиілігі және басқа дәрілік заттармен өзара іс-қимылы туралы қосымша ақпарат алу үшін жүзеге асырылатын зерттеу;</w:t>
      </w:r>
    </w:p>
    <w:p>
      <w:pPr>
        <w:spacing w:after="0"/>
        <w:ind w:left="0"/>
        <w:jc w:val="both"/>
      </w:pPr>
      <w:r>
        <w:rPr>
          <w:rFonts w:ascii="Times New Roman"/>
          <w:b w:val="false"/>
          <w:i w:val="false"/>
          <w:color w:val="000000"/>
          <w:sz w:val="28"/>
        </w:rPr>
        <w:t>
      16) клиникалық зерттеудің үшінші фазасы-тәуекел пайда көрсеткішін бағалауды қоса алғанда, емдеудің барлық аспектілерін зерделеу мақсатында әртүрлі қосалқы патологиясы бар әртүрлі жастағы пациенттердің үлкен топтарында жүргізілетін зерттеу;</w:t>
      </w:r>
    </w:p>
    <w:p>
      <w:pPr>
        <w:spacing w:after="0"/>
        <w:ind w:left="0"/>
        <w:jc w:val="both"/>
      </w:pPr>
      <w:r>
        <w:rPr>
          <w:rFonts w:ascii="Times New Roman"/>
          <w:b w:val="false"/>
          <w:i w:val="false"/>
          <w:color w:val="000000"/>
          <w:sz w:val="28"/>
        </w:rPr>
        <w:t>
      17) клиникалық зерттеу туралы есеп - субъект ретінде адам қатысатын терапевтік, профилактикалық немесе диагностикалық құралдың клиникалық зерттеулерінің сипаттамасын қамтитын, зерттелетін дәрілік заттың, медициналық бұйымның жағымсыз реакцияларын қоса алғанда, клиникалық және статистикалық сипаттамаларды, деректерді ұсыну мен оларды талдауды; шалғайдағы әсерлерді біріктіретін құжат;</w:t>
      </w:r>
    </w:p>
    <w:p>
      <w:pPr>
        <w:spacing w:after="0"/>
        <w:ind w:left="0"/>
        <w:jc w:val="both"/>
      </w:pPr>
      <w:r>
        <w:rPr>
          <w:rFonts w:ascii="Times New Roman"/>
          <w:b w:val="false"/>
          <w:i w:val="false"/>
          <w:color w:val="000000"/>
          <w:sz w:val="28"/>
        </w:rPr>
        <w:t>
      18) клиникалық зерттеу хаттамасы (бұдан әрі – хаттама) – зерттеудің мақсатын, дизайнын, әдіснамасын, статистикалық аспектілерін және ұйымдастырылуын сипаттайтын құжат;</w:t>
      </w:r>
    </w:p>
    <w:p>
      <w:pPr>
        <w:spacing w:after="0"/>
        <w:ind w:left="0"/>
        <w:jc w:val="both"/>
      </w:pPr>
      <w:r>
        <w:rPr>
          <w:rFonts w:ascii="Times New Roman"/>
          <w:b w:val="false"/>
          <w:i w:val="false"/>
          <w:color w:val="000000"/>
          <w:sz w:val="28"/>
        </w:rPr>
        <w:t>
      19) қосалқы дәрілік препарат – клиникалық зерттеу хаттамасына сәйкес клиникалық зерттеу мақсатында пайдаланылатын, бірақ зерттелетін дәрілік препарат ретінде пайдаланылмайтын тіркелген дәрілік препарат; клиникалық зерттеу хаттамасында көрсетілмеген дәрілік препараттар қосалқы дәрілік препараттарға жатпайды;</w:t>
      </w:r>
    </w:p>
    <w:p>
      <w:pPr>
        <w:spacing w:after="0"/>
        <w:ind w:left="0"/>
        <w:jc w:val="both"/>
      </w:pPr>
      <w:r>
        <w:rPr>
          <w:rFonts w:ascii="Times New Roman"/>
          <w:b w:val="false"/>
          <w:i w:val="false"/>
          <w:color w:val="000000"/>
          <w:sz w:val="28"/>
        </w:rPr>
        <w:t>
      20) медициналық қолдануға арналған дәрілік препараттың жалпы сипаттамасы (бұдан әрі – ДЗЖС) – дәрілік затты дұрыс тағайындау мен оның қолданылуын бақылау мақсатында дәрілік препаратты қауіпсіз және тиімді пайдалану туралы медицина қызметкерлеріне арналған ақпаратты қамтитын құжат;</w:t>
      </w:r>
    </w:p>
    <w:p>
      <w:pPr>
        <w:spacing w:after="0"/>
        <w:ind w:left="0"/>
        <w:jc w:val="both"/>
      </w:pPr>
      <w:r>
        <w:rPr>
          <w:rFonts w:ascii="Times New Roman"/>
          <w:b w:val="false"/>
          <w:i w:val="false"/>
          <w:color w:val="000000"/>
          <w:sz w:val="28"/>
        </w:rPr>
        <w:t>
      21) медициналық ұйым - негізгі қызметі медициналық көмек көрсету болып табылатын денсаулық сақтау ұйымы;</w:t>
      </w:r>
    </w:p>
    <w:p>
      <w:pPr>
        <w:spacing w:after="0"/>
        <w:ind w:left="0"/>
        <w:jc w:val="both"/>
      </w:pPr>
      <w:r>
        <w:rPr>
          <w:rFonts w:ascii="Times New Roman"/>
          <w:b w:val="false"/>
          <w:i w:val="false"/>
          <w:color w:val="000000"/>
          <w:sz w:val="28"/>
        </w:rPr>
        <w:t>
      22) озық терапияның дәрілік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p>
      <w:pPr>
        <w:spacing w:after="0"/>
        <w:ind w:left="0"/>
        <w:jc w:val="both"/>
      </w:pPr>
      <w:r>
        <w:rPr>
          <w:rFonts w:ascii="Times New Roman"/>
          <w:b w:val="false"/>
          <w:i w:val="false"/>
          <w:color w:val="000000"/>
          <w:sz w:val="28"/>
        </w:rPr>
        <w:t>
      23) озық терапияның аралас дәрілік заттары - медициналық бұйыммен біріктірілімде ұсынылған озық терапияның дәрілік заттары;</w:t>
      </w:r>
    </w:p>
    <w:p>
      <w:pPr>
        <w:spacing w:after="0"/>
        <w:ind w:left="0"/>
        <w:jc w:val="both"/>
      </w:pPr>
      <w:r>
        <w:rPr>
          <w:rFonts w:ascii="Times New Roman"/>
          <w:b w:val="false"/>
          <w:i w:val="false"/>
          <w:color w:val="000000"/>
          <w:sz w:val="28"/>
        </w:rPr>
        <w:t>
      24) салыстыру препараты - клиникалық зерттеуде бақылау ретінде пайдаланылатын тіркелген дәрілік препарат не плацебо;</w:t>
      </w:r>
    </w:p>
    <w:p>
      <w:pPr>
        <w:spacing w:after="0"/>
        <w:ind w:left="0"/>
        <w:jc w:val="both"/>
      </w:pPr>
      <w:r>
        <w:rPr>
          <w:rFonts w:ascii="Times New Roman"/>
          <w:b w:val="false"/>
          <w:i w:val="false"/>
          <w:color w:val="000000"/>
          <w:sz w:val="28"/>
        </w:rPr>
        <w:t>
      25)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26) стандартты операциялық рәсімдер (бұдан әрі – СОР) – белгілі бір қызметті жүзеге асыру кезінде біркелкілікке қол жеткізуге арналған егжей-тегжейлі жазбаша нұсқаулықтар;</w:t>
      </w:r>
    </w:p>
    <w:p>
      <w:pPr>
        <w:spacing w:after="0"/>
        <w:ind w:left="0"/>
        <w:jc w:val="both"/>
      </w:pPr>
      <w:r>
        <w:rPr>
          <w:rFonts w:ascii="Times New Roman"/>
          <w:b w:val="false"/>
          <w:i w:val="false"/>
          <w:color w:val="000000"/>
          <w:sz w:val="28"/>
        </w:rPr>
        <w:t>
      27) техникалық файл-медициналық бұйымның сипаттамасын және оны болжамды пайдалануды қамтитын, сондай-ақ медициналық бұйымды жобалау, дайындау және пайдалану мәселелерін қамтитын медициналық бұйымға арналған техникалық құжаттаманың жиынтығы;</w:t>
      </w:r>
    </w:p>
    <w:p>
      <w:pPr>
        <w:spacing w:after="0"/>
        <w:ind w:left="0"/>
        <w:jc w:val="both"/>
      </w:pPr>
      <w:r>
        <w:rPr>
          <w:rFonts w:ascii="Times New Roman"/>
          <w:b w:val="false"/>
          <w:i w:val="false"/>
          <w:color w:val="000000"/>
          <w:sz w:val="28"/>
        </w:rPr>
        <w:t>
      28) Good Clinical Practice тиісті клиникалық практикасы (бұдан әрі – GCP) – алынған деректер мен ұсынылған нәтижелердің дұрыстығы мен дәлдігінің кепілі болып табылатын, сондай-ақ зерттеу субъектілерінің құқықтарын, денсаулығын және құпиялылығын қорғауды қамтамасыз ететін, клиникалық зерттеулерді жоспарлау, ұйымдастыру, жүргізу, мониторингілеу, аудит, құжаттандыру, сондай-ақ олардың нәтижелерін талдау және ұсыну стандарты;</w:t>
      </w:r>
    </w:p>
    <w:p>
      <w:pPr>
        <w:spacing w:after="0"/>
        <w:ind w:left="0"/>
        <w:jc w:val="both"/>
      </w:pPr>
      <w:r>
        <w:rPr>
          <w:rFonts w:ascii="Times New Roman"/>
          <w:b w:val="false"/>
          <w:i w:val="false"/>
          <w:color w:val="000000"/>
          <w:sz w:val="28"/>
        </w:rPr>
        <w:t>
      29) хаттама синопсисі – клиникалық зерттеу хаттамасының қысқаша мазмұны.";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Қазақстан Республикасының резиденті-сақтандыру ұйымымен жасалған, құрамында зерттеу субъектісінің өмірі мен денсаулығына зиян келтірілген жағдайда демеушінің азаматтық-құқықтық жауапкершілігін сақтандыру шарты зерттеуге қатысушының өмірі мен денсаулығын сақтандыру туралы құжат болып табылады:</w:t>
      </w:r>
    </w:p>
    <w:p>
      <w:pPr>
        <w:spacing w:after="0"/>
        <w:ind w:left="0"/>
        <w:jc w:val="both"/>
      </w:pPr>
      <w:r>
        <w:rPr>
          <w:rFonts w:ascii="Times New Roman"/>
          <w:b w:val="false"/>
          <w:i w:val="false"/>
          <w:color w:val="000000"/>
          <w:sz w:val="28"/>
        </w:rPr>
        <w:t xml:space="preserve">
      Зерттеуге қатысушының өмірі мен денсаулығын сақтандыру туралы құжаттың мазмұны Қазақстан Республикасының Кодексі 228–бабының 3–тармағының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Биоэтика жөніндегі орталық комиссия бекітетін Биоэтикалық комиссиялар қызметінің стандарттарының талаптарына сәйкес айқындайды.</w:t>
      </w:r>
    </w:p>
    <w:p>
      <w:pPr>
        <w:spacing w:after="0"/>
        <w:ind w:left="0"/>
        <w:jc w:val="both"/>
      </w:pPr>
      <w:r>
        <w:rPr>
          <w:rFonts w:ascii="Times New Roman"/>
          <w:b w:val="false"/>
          <w:i w:val="false"/>
          <w:color w:val="000000"/>
          <w:sz w:val="28"/>
        </w:rPr>
        <w:t>
      Пациентті міндетті сақтандыруды жүзеге асыруды растайтын құжат әрбір клиникалық зерттеу субъектісіне берілетін Полис болып табылады.</w:t>
      </w:r>
    </w:p>
    <w:bookmarkStart w:name="z7" w:id="1"/>
    <w:p>
      <w:pPr>
        <w:spacing w:after="0"/>
        <w:ind w:left="0"/>
        <w:jc w:val="both"/>
      </w:pPr>
      <w:r>
        <w:rPr>
          <w:rFonts w:ascii="Times New Roman"/>
          <w:b w:val="false"/>
          <w:i w:val="false"/>
          <w:color w:val="000000"/>
          <w:sz w:val="28"/>
        </w:rPr>
        <w:t xml:space="preserve">
      7. Қазақстан Республикасының аумағында жүргізілетін дәрілік заттар мен медициналық бұйымдардың барлық клиникалық зерттеулері, тірі организмнен тыс диагностика үшін (in vitro) медициналық бұйымдардың Клиникалық-зертханалық сынақтар "Биомедициналық зерттеулер жүргізу қағидаларын және зерттеу орталықтарына қойылатын талаптарды бекіту туралы" Қазақстан Республикасы Денсаулық сақтау министрінің 2020 жылғы 21 желтоқсандағы № ҚР ДСМ-310/2020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21851 болып тіркелген) сәйкес Биомедициналық зерттеулердің ұлттық тіркелімінде тіркелуге жатады.;</w:t>
      </w:r>
    </w:p>
    <w:bookmarkEnd w:id="1"/>
    <w:bookmarkStart w:name="z8" w:id="2"/>
    <w:p>
      <w:pPr>
        <w:spacing w:after="0"/>
        <w:ind w:left="0"/>
        <w:jc w:val="both"/>
      </w:pPr>
      <w:r>
        <w:rPr>
          <w:rFonts w:ascii="Times New Roman"/>
          <w:b w:val="false"/>
          <w:i w:val="false"/>
          <w:color w:val="000000"/>
          <w:sz w:val="28"/>
        </w:rPr>
        <w:t>
      мынадай мазмұндағы 12-1-тармақпен толықтырылсын:</w:t>
      </w:r>
    </w:p>
    <w:bookmarkEnd w:id="2"/>
    <w:p>
      <w:pPr>
        <w:spacing w:after="0"/>
        <w:ind w:left="0"/>
        <w:jc w:val="both"/>
      </w:pPr>
      <w:r>
        <w:rPr>
          <w:rFonts w:ascii="Times New Roman"/>
          <w:b w:val="false"/>
          <w:i w:val="false"/>
          <w:color w:val="000000"/>
          <w:sz w:val="28"/>
        </w:rPr>
        <w:t xml:space="preserve">
      "12-1.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 стандартының (бұдан әрі-Стандарт) 8-тармағында көрсетілген көрсетілетін қызметті алушының құжаттарын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көрсетілетін қызметті алушыға өтінішті одан әрі қараудан дәлелді бас тартуды жібереді. ";</w:t>
      </w:r>
    </w:p>
    <w:bookmarkStart w:name="z9" w:id="3"/>
    <w:p>
      <w:pPr>
        <w:spacing w:after="0"/>
        <w:ind w:left="0"/>
        <w:jc w:val="both"/>
      </w:pPr>
      <w:r>
        <w:rPr>
          <w:rFonts w:ascii="Times New Roman"/>
          <w:b w:val="false"/>
          <w:i w:val="false"/>
          <w:color w:val="000000"/>
          <w:sz w:val="28"/>
        </w:rPr>
        <w:t>
      мынадай мазмұндағы 16-1-тармақпен толықтырылсын:</w:t>
      </w:r>
    </w:p>
    <w:bookmarkEnd w:id="3"/>
    <w:p>
      <w:pPr>
        <w:spacing w:after="0"/>
        <w:ind w:left="0"/>
        <w:jc w:val="both"/>
      </w:pPr>
      <w:r>
        <w:rPr>
          <w:rFonts w:ascii="Times New Roman"/>
          <w:b w:val="false"/>
          <w:i w:val="false"/>
          <w:color w:val="000000"/>
          <w:sz w:val="28"/>
        </w:rPr>
        <w:t>
      "16-1.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фармакологиялық және дәрілік заттарға, медициналық бұйымдарға клиникалық зерттеу және (немесе) сынақ жүргізуге рұқсат не мемлекеттік қызмет көрсетуден бас тарту туралы дәлелді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Көрсетілетін қызметті берушінің мемлекеттік қызметтер көрсету мәселелері жөніндегі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p>
      <w:pPr>
        <w:spacing w:after="0"/>
        <w:ind w:left="0"/>
        <w:jc w:val="both"/>
      </w:pPr>
      <w:r>
        <w:rPr>
          <w:rFonts w:ascii="Times New Roman"/>
          <w:b w:val="false"/>
          <w:i w:val="false"/>
          <w:color w:val="000000"/>
          <w:sz w:val="28"/>
        </w:rPr>
        <w:t xml:space="preserve">
      Шағым келіп түскен жағдайда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мемлекеттік қызметтер көрсету сапасын бағалау және мониторингі жөніндегі уәкілетті органға (бұдан әрі – шағымды қарайтын орган)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11" w:id="4"/>
    <w:p>
      <w:pPr>
        <w:spacing w:after="0"/>
        <w:ind w:left="0"/>
        <w:jc w:val="both"/>
      </w:pPr>
      <w:r>
        <w:rPr>
          <w:rFonts w:ascii="Times New Roman"/>
          <w:b w:val="false"/>
          <w:i w:val="false"/>
          <w:color w:val="000000"/>
          <w:sz w:val="28"/>
        </w:rPr>
        <w:t>
      мынадай мазмұндағы 17-1, 17-2, 17-3 және 17-4-тармақтармен толықтырылсын:</w:t>
      </w:r>
    </w:p>
    <w:bookmarkEnd w:id="4"/>
    <w:p>
      <w:pPr>
        <w:spacing w:after="0"/>
        <w:ind w:left="0"/>
        <w:jc w:val="both"/>
      </w:pPr>
      <w:r>
        <w:rPr>
          <w:rFonts w:ascii="Times New Roman"/>
          <w:b w:val="false"/>
          <w:i w:val="false"/>
          <w:color w:val="000000"/>
          <w:sz w:val="28"/>
        </w:rPr>
        <w:t xml:space="preserve">
      "17-1.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көрсетілетін қызметті беруші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Start w:name="z12" w:id="5"/>
    <w:p>
      <w:pPr>
        <w:spacing w:after="0"/>
        <w:ind w:left="0"/>
        <w:jc w:val="both"/>
      </w:pPr>
      <w:r>
        <w:rPr>
          <w:rFonts w:ascii="Times New Roman"/>
          <w:b w:val="false"/>
          <w:i w:val="false"/>
          <w:color w:val="000000"/>
          <w:sz w:val="28"/>
        </w:rPr>
        <w:t xml:space="preserve">
      17-2.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жағдайда 10 (он) жұмыс күнінен аспайтын мерзімге ұзартылады.:</w:t>
      </w:r>
    </w:p>
    <w:bookmarkEnd w:id="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шығумен тексеру;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3" w:id="6"/>
    <w:p>
      <w:pPr>
        <w:spacing w:after="0"/>
        <w:ind w:left="0"/>
        <w:jc w:val="both"/>
      </w:pPr>
      <w:r>
        <w:rPr>
          <w:rFonts w:ascii="Times New Roman"/>
          <w:b w:val="false"/>
          <w:i w:val="false"/>
          <w:color w:val="000000"/>
          <w:sz w:val="28"/>
        </w:rPr>
        <w:t>
      17-3. Өндірушінің мемлекеттік қызмет көрсетуіне шағымды қарайтын жоғары тұрған әкімшілік органның сотқа дейінгі тәртіпте қарауы.</w:t>
      </w:r>
    </w:p>
    <w:bookmarkEnd w:id="6"/>
    <w:p>
      <w:pPr>
        <w:spacing w:after="0"/>
        <w:ind w:left="0"/>
        <w:jc w:val="both"/>
      </w:pPr>
      <w:r>
        <w:rPr>
          <w:rFonts w:ascii="Times New Roman"/>
          <w:b w:val="false"/>
          <w:i w:val="false"/>
          <w:color w:val="000000"/>
          <w:sz w:val="28"/>
        </w:rPr>
        <w:t>
      Шағым шешіміне, әрекетіне (әрекетсіздігіне) шағым жасалып жатқан көрсетілетін қызметті берушіге беріледі.</w:t>
      </w:r>
    </w:p>
    <w:bookmarkStart w:name="z14" w:id="7"/>
    <w:p>
      <w:pPr>
        <w:spacing w:after="0"/>
        <w:ind w:left="0"/>
        <w:jc w:val="both"/>
      </w:pPr>
      <w:r>
        <w:rPr>
          <w:rFonts w:ascii="Times New Roman"/>
          <w:b w:val="false"/>
          <w:i w:val="false"/>
          <w:color w:val="000000"/>
          <w:sz w:val="28"/>
        </w:rPr>
        <w:t xml:space="preserve">
      17-4. Егер Қазақстан Республикасының заңдарында өзгеше көзделмесе, сотқа шағымдануға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17) тармақшасы мынадай редакцияда жазылсын:</w:t>
      </w:r>
    </w:p>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клиникалық зерттеу жүргізу үшін қажетті қосалқы медициналық бұйымдар, қосалқы дәрілік препараттар туралы ақпарат (Қазақстан Республикасына (нан) әкелінген (әкетілген)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12) тармақшасы мынадай редакцияда жазылсын:</w:t>
      </w:r>
    </w:p>
    <w:p>
      <w:pPr>
        <w:spacing w:after="0"/>
        <w:ind w:left="0"/>
        <w:jc w:val="both"/>
      </w:pPr>
      <w:r>
        <w:rPr>
          <w:rFonts w:ascii="Times New Roman"/>
          <w:b w:val="false"/>
          <w:i w:val="false"/>
          <w:color w:val="000000"/>
          <w:sz w:val="28"/>
        </w:rPr>
        <w:t>
      "12) осы Қағидаларға 6-қосымшаның нысаны бойынша клиникалық зерттеу жүргізу үшін қажетті қосалқы медициналық бұйымдардың, қосалқы дәрілік препараттардың тізбесі (әкелу және әкету жағдайы);";</w:t>
      </w:r>
    </w:p>
    <w:bookmarkStart w:name="z17" w:id="8"/>
    <w:p>
      <w:pPr>
        <w:spacing w:after="0"/>
        <w:ind w:left="0"/>
        <w:jc w:val="both"/>
      </w:pPr>
      <w:r>
        <w:rPr>
          <w:rFonts w:ascii="Times New Roman"/>
          <w:b w:val="false"/>
          <w:i w:val="false"/>
          <w:color w:val="000000"/>
          <w:sz w:val="28"/>
        </w:rPr>
        <w:t>
      мынадай мазмұндағы 22-1-тармақпен толықтырылсын:</w:t>
      </w:r>
    </w:p>
    <w:bookmarkEnd w:id="8"/>
    <w:p>
      <w:pPr>
        <w:spacing w:after="0"/>
        <w:ind w:left="0"/>
        <w:jc w:val="both"/>
      </w:pPr>
      <w:r>
        <w:rPr>
          <w:rFonts w:ascii="Times New Roman"/>
          <w:b w:val="false"/>
          <w:i w:val="false"/>
          <w:color w:val="000000"/>
          <w:sz w:val="28"/>
        </w:rPr>
        <w:t>
      "22-1. Сараптама ұйымы демеушімен ұсынылған материалдар негізінде және осы Қағидалардың 20-тармағының 11) тармақшасында көзделген өлшемшарттарға сәйкес келетін ICH (АйСиЭйч) өңірі елдерінің құзыретті органдарының қабылданған шешімдері туралы ақпаратты таниды.";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Медициналық қолдануға арналған дәрілік препараттың жалпы сипаттамасының көшірмесі (бекітілген нұсқасы);";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"109. Озық терапияның дәрілік заттарын клиникалық зерттеу хаттамасында ОТДП-ның ерекше сипаттамаларын, сондай-ақ қатысушылар, байланыста болған адамдар, зерттеушілер және басқалар үшін ықтимал тәуекелдерді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реттік нөмірі 4-жол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bl>
    <w:p>
      <w:pPr>
        <w:spacing w:after="0"/>
        <w:ind w:left="0"/>
        <w:jc w:val="both"/>
      </w:pP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2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2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откен соң.</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