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2ea3" w14:textId="9bb2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6 сәуірдегі № 28 қаулысы. Қазақстан Республикасының Әділет министрлігінде 2022 жылғы 8 сәуірде № 27486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1" w:id="0"/>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p>
      <w:pPr>
        <w:spacing w:after="0"/>
        <w:ind w:left="0"/>
        <w:jc w:val="both"/>
      </w:pPr>
      <w:r>
        <w:rPr>
          <w:rFonts w:ascii="Times New Roman"/>
          <w:b w:val="false"/>
          <w:i w:val="false"/>
          <w:color w:val="000000"/>
          <w:sz w:val="28"/>
        </w:rPr>
        <w:t xml:space="preserve">
      Өтімділік нормативтері: </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бір немесе бірнеше өтімділік коэффициенттерінің мәндері банкке байланыссыз жағдайлар бойынша белгіленген ең төменгі мәндерден төмендеген жағдайда 2022 жылғы 21 ақпаннан 2022 жылғы 31 мамыр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6 (алты) айға дейінгі мерзімде өтімділік нормативтерді белгіленген ең төменгі мәндерден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0,60,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қаңтардан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мамыр аралығындағы кезеңде норматив бұзылған болып есептелмейді. </w:t>
      </w:r>
    </w:p>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осындай төмендеу анықталған күннен бастап 6 (алты)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 </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p>
      <w:pPr>
        <w:spacing w:after="0"/>
        <w:ind w:left="0"/>
        <w:jc w:val="both"/>
      </w:pPr>
      <w:r>
        <w:rPr>
          <w:rFonts w:ascii="Times New Roman"/>
          <w:b w:val="false"/>
          <w:i w:val="false"/>
          <w:color w:val="000000"/>
          <w:sz w:val="28"/>
        </w:rPr>
        <w:t>
      Нетто тұрақты қорландыру коэффициентінің ең төмен мәні 2019 жылғы 1 қаңтардан бастап 1,0 мөлшерінде белгіленеді.</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мамыр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6 (алты)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xml:space="preserve">
      Уәкілетті орган осы тармақтың төртінші бөлігінде көзделген іс-шаралар жоспарын келісуді ұсынған күнінен бастап 10 (он) жұмыс күн ішінде жүзеге асырады. </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нетто тұрақты қорландыру коэффициентінің төмендеуі аталған төмендеу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қосылады:</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қоса алғанда 1 (бір) жылға дейінгі мерзімді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кредитордың міндеттемелерді мерзімінен бұрын өтеуді талап ететін шартсыз құқығы бар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 заңды тұлғаларының ағымдағы шоттары;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(бұдан әрі – № 203 қаулы) бекітілген Экономика секторларының және төлемдер белгілеу кодтарын қолдану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банк кастодиандық шарт негізінде сақтауға қабылдаған қаражаттың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бейрезиденті - бас банктің алдындағы реттелген борыштық міндеттемелер;</w:t>
      </w:r>
    </w:p>
    <w:p>
      <w:pPr>
        <w:spacing w:after="0"/>
        <w:ind w:left="0"/>
        <w:jc w:val="both"/>
      </w:pPr>
      <w:r>
        <w:rPr>
          <w:rFonts w:ascii="Times New Roman"/>
          <w:b w:val="false"/>
          <w:i w:val="false"/>
          <w:color w:val="000000"/>
          <w:sz w:val="28"/>
        </w:rPr>
        <w:t>
      2022 жылғы 1 наурыздан бастап қоса алғанда 2022 жылғы 31 тамыз аралығындағы кезеңде өз талаптарында мерзімінен бұрын өтеудің пруденциялық нормативтердің Нормативтерде белгіленген мәндерден төмен мәнге төмендетуге алып келмейтіні көзделген Қазақстан Республикасының бейрезидент - бас банкі алдындағы депозиттер және кредиттер түріндегі өзге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"88. Банктің ішкі активтері активтерді (ақшаны) және Қазақстан Республикасының резиденттеріне қойылатын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төлемдері жөніндегі міндеттемелерді сөзсіз және қайтарып алынбайтын орындау туралы тармақтары бар сақтандыру шарттарымен қамтамасыз етілген, Қазақстан Республикасынан өңделген тауарлар мен көрсетілетін қызметтердің экспортын қаржыландыру үшін берілген қарыздар бойынша Қазақстан Республикасының бейрезиденттеріне қойылатын талаптарды, сондай-ақ халықаралық қаржы ұйымдарының теңгемен шығарылған және "Қазақстан қор биржасы" акционерлік қоғамының сауда жүйесінде саудаланатын облигацияларын білдіреді.</w:t>
      </w:r>
    </w:p>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және кастодиандық шарт негізінде банк қабылдаған қаражаттың инвестицияланбаған қалдықтарын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мақсаттары үшін Нормативтердің 86 және 87-тармақтарына сәйкес төмендегілердің: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бейрезидент-еншілес ұйымдарының акциялары шегерілген, бухгалтерлік баланстың деректеріне сәйкес меншікті капиталдың 0,75-ке көбейтілген ең аз мәні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коэффициенті:</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мамыр аралығындағы кезеңді қоса алғанда бұзылған болып есептелмейді. </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6 (алты) айға дейінгі мерзімде банктер қаражатының бір бөлігін ішкі активтерге орналастыру бойынша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 осы қаулыға қосымшаға сәйкес редакцияда жазылсын;</w:t>
      </w:r>
    </w:p>
    <w:bookmarkStart w:name="z9" w:id="2"/>
    <w:p>
      <w:pPr>
        <w:spacing w:after="0"/>
        <w:ind w:left="0"/>
        <w:jc w:val="both"/>
      </w:pPr>
      <w:r>
        <w:rPr>
          <w:rFonts w:ascii="Times New Roman"/>
          <w:b w:val="false"/>
          <w:i w:val="false"/>
          <w:color w:val="000000"/>
          <w:sz w:val="28"/>
        </w:rPr>
        <w:t xml:space="preserve">
      көрсетілген қаулымен бекітілетін Ашық валюталық позицияларды есептеу қағидалары мен </w:t>
      </w:r>
      <w:r>
        <w:rPr>
          <w:rFonts w:ascii="Times New Roman"/>
          <w:b w:val="false"/>
          <w:i w:val="false"/>
          <w:color w:val="000000"/>
          <w:sz w:val="28"/>
        </w:rPr>
        <w:t>лимиттерiнде</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4-тармақ мынадай редакцияда жазылсын:</w:t>
      </w:r>
    </w:p>
    <w:bookmarkEnd w:id="3"/>
    <w:p>
      <w:pPr>
        <w:spacing w:after="0"/>
        <w:ind w:left="0"/>
        <w:jc w:val="both"/>
      </w:pPr>
      <w:r>
        <w:rPr>
          <w:rFonts w:ascii="Times New Roman"/>
          <w:b w:val="false"/>
          <w:i w:val="false"/>
          <w:color w:val="000000"/>
          <w:sz w:val="28"/>
        </w:rPr>
        <w:t>
      "4.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3-тармағында белгiленген ашық валюталық позиция лимиттерiнен 5 (бес) пайыздық тармаққа азаюымен айқындалады.</w:t>
      </w:r>
    </w:p>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xml:space="preserve">
      клиенттердің ақша қаражатының әкетілуіне; </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2022 жылғы 31 мамыр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6 (алты)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bookmarkStart w:name="z11" w:id="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2"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xml:space="preserve">
      4. Осы қаулы алғашқы ресми жарияланған күнінен бастап күшіне енеді. Банктің осы қаулының 1-тармағының бесінші, отыз төртінші, қырық төртінші, жетпіс бірінші, сексен алтыншы абзацтарында көрсетілген пруденциялық нормативтерді және сақталуы міндетті өзге де нормалар мен лимиттерді және банк капиталының мөлшерін және ашық валюталық позиция лимиттерін бұзуы осы қаулы қолданысқа енгізілгенге дейін анықталған жағдайларда осы қаулының 1-тармағының тоғызыншы, отыз сегізінші, қырық сегізінші, жетпіс бесінші, тоқсаныншы абзацтарында көзделген мерзім осы қаулы қолданысқа енгізілген күннен бастап есептеледі. Осы қаулының 1-тармағының жетпіс сегізінші абзацы 2022 жылғы 21 ақпаннан бастап туындаған құқықтық қатынастарға қолданылады.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6 сәуірдегі</w:t>
            </w:r>
            <w:r>
              <w:br/>
            </w:r>
            <w:r>
              <w:rPr>
                <w:rFonts w:ascii="Times New Roman"/>
                <w:b w:val="false"/>
                <w:i w:val="false"/>
                <w:color w:val="000000"/>
                <w:sz w:val="20"/>
              </w:rPr>
              <w:t>№ 28 қаулыға</w:t>
            </w:r>
            <w:r>
              <w:br/>
            </w:r>
            <w:r>
              <w:rPr>
                <w:rFonts w:ascii="Times New Roman"/>
                <w:b w:val="false"/>
                <w:i w:val="false"/>
                <w:color w:val="000000"/>
                <w:sz w:val="20"/>
              </w:rPr>
              <w:t>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Қолжетімді тұрақты қорландыру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