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0a90" w14:textId="ed40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"Еңбекті қорғау қызметтерінің жұмыскерлері санының салааралық үлгілік нормативтерін бекіту туралы" Қазақстан Республикасы Еңбек және халықты әлеуметтік қорғау министрінің 2020 жылғы 2 қыркүйектегі № 349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31 наурыздағы № 108 бұйрығы. Қазақстан Республикасының Әділет министрлігінде 2022 жылғы 31 наурызда № 27347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"Еңбекті қорғау қызметтерінің жұмыскерлері санының салааралық үлгілік нормативтерін бекіту туралы" Қазақстан Республикасы Еңбек және халықты әлеуметтік қорғау министрінің 2020 жылғы 2 қыркүйектегі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21164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еңбекті қорғау қызметтерінің жұмыскерлері санының салааралық </w:t>
      </w:r>
      <w:r>
        <w:rPr>
          <w:rFonts w:ascii="Times New Roman"/>
          <w:b w:val="false"/>
          <w:i w:val="false"/>
          <w:color w:val="000000"/>
          <w:sz w:val="28"/>
        </w:rPr>
        <w:t>үлгілік 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31 наурыздағы</w:t>
            </w:r>
            <w:r>
              <w:br/>
            </w:r>
            <w:r>
              <w:rPr>
                <w:rFonts w:ascii="Times New Roman"/>
                <w:b w:val="false"/>
                <w:i w:val="false"/>
                <w:color w:val="000000"/>
                <w:sz w:val="20"/>
              </w:rPr>
              <w:t>№ 108</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Еңбекті қорғау қызметтерінің жұмыскерлері санының салааралық үлгілік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орташа жылдық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және одна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 w:id="10"/>
    <w:p>
      <w:pPr>
        <w:spacing w:after="0"/>
        <w:ind w:left="0"/>
        <w:jc w:val="both"/>
      </w:pPr>
      <w:r>
        <w:rPr>
          <w:rFonts w:ascii="Times New Roman"/>
          <w:b w:val="false"/>
          <w:i w:val="false"/>
          <w:color w:val="000000"/>
          <w:sz w:val="28"/>
        </w:rPr>
        <w:t>
      Ескертпе:</w:t>
      </w:r>
    </w:p>
    <w:bookmarkEnd w:id="10"/>
    <w:bookmarkStart w:name="z13" w:id="11"/>
    <w:p>
      <w:pPr>
        <w:spacing w:after="0"/>
        <w:ind w:left="0"/>
        <w:jc w:val="both"/>
      </w:pPr>
      <w:r>
        <w:rPr>
          <w:rFonts w:ascii="Times New Roman"/>
          <w:b w:val="false"/>
          <w:i w:val="false"/>
          <w:color w:val="000000"/>
          <w:sz w:val="28"/>
        </w:rPr>
        <w:t>
      Бүтін емес мәні бар сан нормативтері көрсетілген шекті мәннен кем емес санды анықтайды.</w:t>
      </w:r>
    </w:p>
    <w:bookmarkEnd w:id="11"/>
    <w:bookmarkStart w:name="z14" w:id="12"/>
    <w:p>
      <w:pPr>
        <w:spacing w:after="0"/>
        <w:ind w:left="0"/>
        <w:jc w:val="both"/>
      </w:pPr>
      <w:r>
        <w:rPr>
          <w:rFonts w:ascii="Times New Roman"/>
          <w:b w:val="false"/>
          <w:i w:val="false"/>
          <w:color w:val="000000"/>
          <w:sz w:val="28"/>
        </w:rPr>
        <w:t>
      0,5 мәні еңбек қауіпсіздігі және еңбекті қорғауды қамтамасыз ету жөніндегі міндетті басқа маманға жүктеуді немесе қызмет ерекшелігін ескере отырып, жеке бір маманды бекітуді білдіреді. Мәні 1,5, 2,5, 3,5, 4,5, 5,5, 6,5, 7,5, 8,5, және 9,5 жұмыс берушінің қызметтің ерекшелігін ескере отырып, қажеттілікті толығымен дөңгелектеу арқылы өз бетінше анықтау мүмкіндігін білдіреді.</w:t>
      </w:r>
    </w:p>
    <w:bookmarkEnd w:id="12"/>
    <w:bookmarkStart w:name="z15" w:id="13"/>
    <w:p>
      <w:pPr>
        <w:spacing w:after="0"/>
        <w:ind w:left="0"/>
        <w:jc w:val="both"/>
      </w:pPr>
      <w:r>
        <w:rPr>
          <w:rFonts w:ascii="Times New Roman"/>
          <w:b w:val="false"/>
          <w:i w:val="false"/>
          <w:color w:val="000000"/>
          <w:sz w:val="28"/>
        </w:rPr>
        <w:t>
      Еңбекті қорғау қызметі жұмыскерлерінің саны (Ч) мына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Ч – жұмыскерлердің саны, адам;</w:t>
      </w:r>
    </w:p>
    <w:p>
      <w:pPr>
        <w:spacing w:after="0"/>
        <w:ind w:left="0"/>
        <w:jc w:val="both"/>
      </w:pPr>
      <w:r>
        <w:rPr>
          <w:rFonts w:ascii="Times New Roman"/>
          <w:b w:val="false"/>
          <w:i w:val="false"/>
          <w:color w:val="000000"/>
          <w:sz w:val="28"/>
        </w:rPr>
        <w:t>
      Фn - бір жұмыскердің бір жылдағы жұмыс уақытының пайдалы қоры. Бір жылдағы жұмыс күндерінің оның орташа ұзақтығына туындысы ретінде айқындалады.</w:t>
      </w:r>
    </w:p>
    <w:p>
      <w:pPr>
        <w:spacing w:after="0"/>
        <w:ind w:left="0"/>
        <w:jc w:val="both"/>
      </w:pPr>
      <w:r>
        <w:rPr>
          <w:rFonts w:ascii="Times New Roman"/>
          <w:b w:val="false"/>
          <w:i w:val="false"/>
          <w:color w:val="000000"/>
          <w:sz w:val="28"/>
        </w:rPr>
        <w:t>
      Tн – нормаланатын жұмыстың жылдық еңбек сыйымдылығы, адам-сағ.;</w:t>
      </w:r>
    </w:p>
    <w:p>
      <w:pPr>
        <w:spacing w:after="0"/>
        <w:ind w:left="0"/>
        <w:jc w:val="both"/>
      </w:pPr>
      <w:r>
        <w:rPr>
          <w:rFonts w:ascii="Times New Roman"/>
          <w:b w:val="false"/>
          <w:i w:val="false"/>
          <w:color w:val="000000"/>
          <w:sz w:val="28"/>
        </w:rPr>
        <w:t>
      Нормаланатын жұмыстардың жылдық еңбек сыйымдылығы (Тн) орындалатын жұмыстың әр түрінің көлемін ескере отырып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Нврi – жұмыстың нақты нормаланатын түрін орындаудың уақыт нормалары, адам-сағ.;</w:t>
      </w:r>
    </w:p>
    <w:p>
      <w:pPr>
        <w:spacing w:after="0"/>
        <w:ind w:left="0"/>
        <w:jc w:val="both"/>
      </w:pPr>
      <w:r>
        <w:rPr>
          <w:rFonts w:ascii="Times New Roman"/>
          <w:b w:val="false"/>
          <w:i w:val="false"/>
          <w:color w:val="000000"/>
          <w:sz w:val="28"/>
        </w:rPr>
        <w:t>
      Vi – жыл ішінде орындалатын нақты жұмыс түрінің көлемі i = 1, 2, ..., n - орындалған жұмыс түрлері.</w:t>
      </w:r>
    </w:p>
    <w:bookmarkStart w:name="z16" w:id="14"/>
    <w:p>
      <w:pPr>
        <w:spacing w:after="0"/>
        <w:ind w:left="0"/>
        <w:jc w:val="both"/>
      </w:pPr>
      <w:r>
        <w:rPr>
          <w:rFonts w:ascii="Times New Roman"/>
          <w:b w:val="false"/>
          <w:i w:val="false"/>
          <w:color w:val="000000"/>
          <w:sz w:val="28"/>
        </w:rPr>
        <w:t>
      Жұмысты орындау уақытының нормативі (Нвр) мынадай формула бойынша айқындалады:</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27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Нвр – нақты бір жұмыс түрін (функцияны) орындау уақыты, адам-сағ.;</w:t>
      </w:r>
    </w:p>
    <w:p>
      <w:pPr>
        <w:spacing w:after="0"/>
        <w:ind w:left="0"/>
        <w:jc w:val="both"/>
      </w:pPr>
      <w:r>
        <w:rPr>
          <w:rFonts w:ascii="Times New Roman"/>
          <w:b w:val="false"/>
          <w:i w:val="false"/>
          <w:color w:val="000000"/>
          <w:sz w:val="28"/>
        </w:rPr>
        <w:t>
      Ton – норматив бойынша белгіленген нормаланатын жұмысты орындау уақытының нормативі, адам-сағ.;</w:t>
      </w:r>
    </w:p>
    <w:p>
      <w:pPr>
        <w:spacing w:after="0"/>
        <w:ind w:left="0"/>
        <w:jc w:val="both"/>
      </w:pPr>
      <w:r>
        <w:rPr>
          <w:rFonts w:ascii="Times New Roman"/>
          <w:b w:val="false"/>
          <w:i w:val="false"/>
          <w:color w:val="000000"/>
          <w:sz w:val="28"/>
        </w:rPr>
        <w:t>
      К – жұмыс орнына ұйымдық-техникалық қызмет көрсетуге, демалысқа (жұмысты орындау кезінде мәжбүрлі үзілістерді, гимнастикалық жаттығуларды қосқанда) және жеке қажеттіліктерге, сондай-ақ дайындық-қорытынды жұмыстарға кететін уақытты жедел уақыттың пайыздық қатысынан ескеретін коэффициент. Жұмыскерлердің жұмыс уақытын хронометражды қадағалауды талдау нәтижелері бойынша К жедел уақыт көлемінің 10%-ына тең болып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