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2cce" w14:textId="27a2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2022 жылғы 24 наурыздағы № 3-НҚ нормативтік қаулысы. Қазақстан Республикасының Әділет министрлігінде 2022 жылғы 29 наурызда № 27257 болып тіркелді</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Кандидаттың мемлекеттік аудитор біліктілігіне алған білімін растау туралы құжаты оның білімін растау туралы құжат берілген күннен бастап әңгімелесуге жіберу туралы өтініш берген күнге дейін екі жыл ішінде Ұлттық комиссияда одан әрі әңгімелесуден өтуі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"60. Әңгімелесу нәтижелері бойынша тиісті деңгейдегі мемлекеттік аудитор біліктілігін беруден бас тартылған кандидат Ұлттық комиссияның шешімі қабылданған күннен бастап үш айдан кейін Ұлттық комиссияда қайтадан әңгімелесуге құжаттарын (бірақ жылына екі реттен көп емес) тапсырады.".</w:t>
      </w:r>
    </w:p>
    <w:bookmarkStart w:name="z5" w:id="0"/>
    <w:p>
      <w:pPr>
        <w:spacing w:after="0"/>
        <w:ind w:left="0"/>
        <w:jc w:val="both"/>
      </w:pPr>
      <w:r>
        <w:rPr>
          <w:rFonts w:ascii="Times New Roman"/>
          <w:b w:val="false"/>
          <w:i w:val="false"/>
          <w:color w:val="000000"/>
          <w:sz w:val="28"/>
        </w:rPr>
        <w:t>
      2. Есеп комитетінің Сертификаттау және ұйымдастыру жұмысы бөлімі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Start w:name="z6" w:id="1"/>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1"/>
    <w:bookmarkStart w:name="z7" w:id="2"/>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 xml:space="preserve">            атқарылуын бақылау жөніндегі </w:t>
            </w:r>
          </w:p>
          <w:p>
            <w:pPr>
              <w:spacing w:after="20"/>
              <w:ind w:left="20"/>
              <w:jc w:val="both"/>
            </w:pPr>
            <w:r>
              <w:rPr>
                <w:rFonts w:ascii="Times New Roman"/>
                <w:b w:val="false"/>
                <w:i/>
                <w:color w:val="000000"/>
                <w:sz w:val="20"/>
              </w:rPr>
              <w:t xml:space="preserve">            есеп комитетінің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