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ad8d" w14:textId="6eca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21 қаулысы. Қазақстан Республикасының Әділет министрлігінде 2022 жылғы 10 наурызда № 27072 болып тіркелді</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 159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19391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14)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автомобильмен инкассаторлық тасымалдауды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Республикасында автомобильмен инкассаторлық тасымалдауды ұйымдастыру жөніндегі нұсқаулық (бұдан әрі – Нұсқаулық)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Қазақстан Республикасының бейрезидент банктері филиалдарының, Ұлттық почта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Қазақстан Республикасында автомобильмен инкассаторлық тасымалдауды (бұдан әрі – автомобильмен инкассаторлық тасымалдау) ұйымдастыру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инкассация қызметі – банктің, Қазақстан Республикасының бейрезидент банкі филиалының, инкассаторлық ұйымның, Ұлттық Банкінің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p>
      <w:pPr>
        <w:spacing w:after="0"/>
        <w:ind w:left="0"/>
        <w:jc w:val="both"/>
      </w:pPr>
      <w:r>
        <w:rPr>
          <w:rFonts w:ascii="Times New Roman"/>
          <w:b w:val="false"/>
          <w:i w:val="false"/>
          <w:color w:val="000000"/>
          <w:sz w:val="28"/>
        </w:rPr>
        <w:t>
      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ауытқуларсыз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pPr>
        <w:spacing w:after="0"/>
        <w:ind w:left="0"/>
        <w:jc w:val="both"/>
      </w:pPr>
      <w:r>
        <w:rPr>
          <w:rFonts w:ascii="Times New Roman"/>
          <w:b w:val="false"/>
          <w:i w:val="false"/>
          <w:color w:val="000000"/>
          <w:sz w:val="28"/>
        </w:rPr>
        <w:t>
      Банктердің, инкассаторлық ұйымдардың көлік құралдарын банкноттар, монеталар және құндылықтар болып табылмайтын жүктерді тасымалдау үшін пайдалануына, сондай-ақ салонда газбен жабдықтаудың болуына немесе орнатылуына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10" w:id="0"/>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1" w:id="1"/>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1"/>
    <w:bookmarkStart w:name="z12"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Министерство внутренних дел</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