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c4f1" w14:textId="4a7c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бірыңғай жинақтаушы зейнетақы қоры және ерікті жинақтаушы зейнетақы қорлары үшін қойылатын талаптарды бекіту туралы" Қазақстан Республикасының Қаржы нарығын реттеу және дамыту агенттігі Басқармасының 2020 жылғы 12 қазандағы № 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24 ақпандағы № 17 қаулысы. Қазақстан Республикасының Әділет министрлігінде 2022 жылғы 28 ақпанда № 26967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 </w:t>
      </w:r>
    </w:p>
    <w:bookmarkStart w:name="z1" w:id="0"/>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бірыңғай жинақтаушы зейнетақы қоры және ерікті жинақтаушы зейнетақы қорлары үшін қойылатын талаптарды бекіту туралы" Қазақстан Республикасының Қаржы нарығын реттеу және дамыту агенттігі Басқармасының 2020 жылғы 12 қазандағы № 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21434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бірыңғай жинақтаушы зейнетақы қоры және ерікті жинақтаушы зейнетақы қорлары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жоғарғы оң жақ бұрыштағы мәтін мынадай редакцияда жазылсын: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95 қаулысымен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Талаптарда қолданылатын ұғымдар КЖ/ТҚҚ туралы заңда және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мағыналарында пайдаланылады.</w:t>
      </w:r>
    </w:p>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бірыңғай жинақтаушы зейнетақы қоры және ерікті жинақтаушы зейнетақы қорлары (бұдан әрі – қор) дербес әзірлеген күдікті операцияны айқындау белгілері ескеріле отырып, КЖ/ТҚҚ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операциясы (мәмілесі);</w:t>
      </w:r>
    </w:p>
    <w:p>
      <w:pPr>
        <w:spacing w:after="0"/>
        <w:ind w:left="0"/>
        <w:jc w:val="both"/>
      </w:pPr>
      <w:r>
        <w:rPr>
          <w:rFonts w:ascii="Times New Roman"/>
          <w:b w:val="false"/>
          <w:i w:val="false"/>
          <w:color w:val="000000"/>
          <w:sz w:val="28"/>
        </w:rPr>
        <w:t>
      2) клиент – қордың қызметтерін алатын жеке тұлға және (немесе) заңды тұлға;</w:t>
      </w:r>
    </w:p>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тәуекелдері (бұдан әрі – КЖ/ТҚ тәуекелдері) – қорды қылмыстық жолмен алынған кірістерді заңдастыру (жылыстату), терроризмді қаржыландыру процестеріне қасақана немесе қасақана емес тарту тәуекелдері (бұдан әрі – КЖ/ТҚ);</w:t>
      </w:r>
    </w:p>
    <w:p>
      <w:pPr>
        <w:spacing w:after="0"/>
        <w:ind w:left="0"/>
        <w:jc w:val="both"/>
      </w:pPr>
      <w:r>
        <w:rPr>
          <w:rFonts w:ascii="Times New Roman"/>
          <w:b w:val="false"/>
          <w:i w:val="false"/>
          <w:color w:val="000000"/>
          <w:sz w:val="28"/>
        </w:rPr>
        <w:t>
      4) КЖ/ТҚ тәуекелдерін басқару – қордың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5) ұлттық жария лауазымды адам (бұдан әрі – ҰЖЛА):</w:t>
      </w:r>
    </w:p>
    <w:p>
      <w:pPr>
        <w:spacing w:after="0"/>
        <w:ind w:left="0"/>
        <w:jc w:val="both"/>
      </w:pPr>
      <w:r>
        <w:rPr>
          <w:rFonts w:ascii="Times New Roman"/>
          <w:b w:val="false"/>
          <w:i w:val="false"/>
          <w:color w:val="000000"/>
          <w:sz w:val="28"/>
        </w:rPr>
        <w:t>
      жауапты мемлекеттік лауазымды атқаратын адам;</w:t>
      </w:r>
    </w:p>
    <w:p>
      <w:pPr>
        <w:spacing w:after="0"/>
        <w:ind w:left="0"/>
        <w:jc w:val="both"/>
      </w:pPr>
      <w:r>
        <w:rPr>
          <w:rFonts w:ascii="Times New Roman"/>
          <w:b w:val="false"/>
          <w:i w:val="false"/>
          <w:color w:val="000000"/>
          <w:sz w:val="28"/>
        </w:rPr>
        <w:t xml:space="preserve">
      лауазымды адам; </w:t>
      </w:r>
    </w:p>
    <w:p>
      <w:pPr>
        <w:spacing w:after="0"/>
        <w:ind w:left="0"/>
        <w:jc w:val="both"/>
      </w:pPr>
      <w:r>
        <w:rPr>
          <w:rFonts w:ascii="Times New Roman"/>
          <w:b w:val="false"/>
          <w:i w:val="false"/>
          <w:color w:val="000000"/>
          <w:sz w:val="28"/>
        </w:rPr>
        <w:t>
      мемлекеттік функцияларды орындауға уәкілетті адам;</w:t>
      </w:r>
    </w:p>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p>
      <w:pPr>
        <w:spacing w:after="0"/>
        <w:ind w:left="0"/>
        <w:jc w:val="both"/>
      </w:pPr>
      <w:r>
        <w:rPr>
          <w:rFonts w:ascii="Times New Roman"/>
          <w:b w:val="false"/>
          <w:i w:val="false"/>
          <w:color w:val="000000"/>
          <w:sz w:val="28"/>
        </w:rPr>
        <w:t>
      6)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7) шекті операция – клиенттің ақшамен және (немесе) өзге де мүлікпен жүргізілетін, КЖ/ТҚҚ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p>
      <w:pPr>
        <w:spacing w:after="0"/>
        <w:ind w:left="0"/>
        <w:jc w:val="both"/>
      </w:pPr>
      <w:r>
        <w:rPr>
          <w:rFonts w:ascii="Times New Roman"/>
          <w:b w:val="false"/>
          <w:i w:val="false"/>
          <w:color w:val="000000"/>
          <w:sz w:val="28"/>
        </w:rPr>
        <w:t>
      8) шетелдік жария лауазымды адам (бұдан әрі – ШЖЛА):</w:t>
      </w:r>
    </w:p>
    <w:p>
      <w:pPr>
        <w:spacing w:after="0"/>
        <w:ind w:left="0"/>
        <w:jc w:val="both"/>
      </w:pPr>
      <w:r>
        <w:rPr>
          <w:rFonts w:ascii="Times New Roman"/>
          <w:b w:val="false"/>
          <w:i w:val="false"/>
          <w:color w:val="000000"/>
          <w:sz w:val="28"/>
        </w:rPr>
        <w:t>
      шет мемлекеттің заң шығарушы, атқарушы, әкімшілік, сот органдарында немесе қарулы күштерінде қандай да бір лауазымды атқаратын тағайындалатын немесе сайланатын адам;</w:t>
      </w:r>
    </w:p>
    <w:p>
      <w:pPr>
        <w:spacing w:after="0"/>
        <w:ind w:left="0"/>
        <w:jc w:val="both"/>
      </w:pPr>
      <w:r>
        <w:rPr>
          <w:rFonts w:ascii="Times New Roman"/>
          <w:b w:val="false"/>
          <w:i w:val="false"/>
          <w:color w:val="000000"/>
          <w:sz w:val="28"/>
        </w:rPr>
        <w:t>
      шет мемлекет үшін қандай да бір жария функцияны орындайтын адам;</w:t>
      </w:r>
    </w:p>
    <w:p>
      <w:pPr>
        <w:spacing w:after="0"/>
        <w:ind w:left="0"/>
        <w:jc w:val="both"/>
      </w:pPr>
      <w:r>
        <w:rPr>
          <w:rFonts w:ascii="Times New Roman"/>
          <w:b w:val="false"/>
          <w:i w:val="false"/>
          <w:color w:val="000000"/>
          <w:sz w:val="28"/>
        </w:rPr>
        <w:t>
      халықаралық шарттар мәртебесі бар келісімдер негізінде елдер құрған ұйымдарда басшы лауазым атқаратын адам;</w:t>
      </w:r>
    </w:p>
    <w:p>
      <w:pPr>
        <w:spacing w:after="0"/>
        <w:ind w:left="0"/>
        <w:jc w:val="both"/>
      </w:pPr>
      <w:r>
        <w:rPr>
          <w:rFonts w:ascii="Times New Roman"/>
          <w:b w:val="false"/>
          <w:i w:val="false"/>
          <w:color w:val="000000"/>
          <w:sz w:val="28"/>
        </w:rPr>
        <w:t>
      9) іскерлік қатынастар – қордың клиентке зейнетақы жарналарын тарту және зейнетақы төлемдері жөніндегі қызметке жататын қызметтер ұсынуы бойынша қатынастар.";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(бұдан әрі – КЖ/ТҚҚ) мақсатында қор ішкі бақылауды:</w:t>
      </w:r>
    </w:p>
    <w:p>
      <w:pPr>
        <w:spacing w:after="0"/>
        <w:ind w:left="0"/>
        <w:jc w:val="both"/>
      </w:pPr>
      <w:r>
        <w:rPr>
          <w:rFonts w:ascii="Times New Roman"/>
          <w:b w:val="false"/>
          <w:i w:val="false"/>
          <w:color w:val="000000"/>
          <w:sz w:val="28"/>
        </w:rPr>
        <w:t>
      1) қордың КЖ/ТҚҚ туралы заңның талаптарын орындауын қамтамасыз ету;</w:t>
      </w:r>
    </w:p>
    <w:p>
      <w:pPr>
        <w:spacing w:after="0"/>
        <w:ind w:left="0"/>
        <w:jc w:val="both"/>
      </w:pPr>
      <w:r>
        <w:rPr>
          <w:rFonts w:ascii="Times New Roman"/>
          <w:b w:val="false"/>
          <w:i w:val="false"/>
          <w:color w:val="000000"/>
          <w:sz w:val="28"/>
        </w:rPr>
        <w:t>
      2) қордың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қорды, оның лауазымды тұлғалары мен қызметкерлерін КЖ/ТҚ процестеріне тартуды болдырмау мақсатында жүзеге асырады.</w:t>
      </w:r>
    </w:p>
    <w:p>
      <w:pPr>
        <w:spacing w:after="0"/>
        <w:ind w:left="0"/>
        <w:jc w:val="both"/>
      </w:pPr>
      <w:r>
        <w:rPr>
          <w:rFonts w:ascii="Times New Roman"/>
          <w:b w:val="false"/>
          <w:i w:val="false"/>
          <w:color w:val="000000"/>
          <w:sz w:val="28"/>
        </w:rPr>
        <w:t xml:space="preserve">
      Қор осы тармақтың бірінші бөлігінде көзделген ішкі бақылаудан басқа, КЖ/ТҚҚ туралы заңның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көзделген жаппай қырып-жою қаруын таратудың және оны қаржыландырудың алдын алуға, оған кедергі келтіруге және тоқтатуға қатысты нысаналы қаржылық санкциялар жөніндегі талаптардың сақталуын қосымша жүзеге асырады.</w:t>
      </w:r>
    </w:p>
    <w:bookmarkStart w:name="z6" w:id="3"/>
    <w:p>
      <w:pPr>
        <w:spacing w:after="0"/>
        <w:ind w:left="0"/>
        <w:jc w:val="both"/>
      </w:pPr>
      <w:r>
        <w:rPr>
          <w:rFonts w:ascii="Times New Roman"/>
          <w:b w:val="false"/>
          <w:i w:val="false"/>
          <w:color w:val="000000"/>
          <w:sz w:val="28"/>
        </w:rPr>
        <w:t>
      4. Қорда КЖ/ТҚҚ мақсатында ішкі бақылауды ұйымдастыру шеңберінде қордың ішкі аудит қызметінің КЖ/ТҚҚ мақсатында ішкі бақылаудың тиімділігін бағалауды жүргізуіне қойылатын талаптар қамтылатын ішкі бақылау қағидалары әзірленеді.</w:t>
      </w:r>
    </w:p>
    <w:bookmarkEnd w:id="3"/>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қор оларды Талаптарға сәйкес дербес әзірлейді және олар қордың ішкі құжаты не қордың басқару органы немесе атқарушы органы бекіткен осындай құжаттардың жиынтығы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xml:space="preserve">
      2) нысаналы қаржы санкцияларын қолдану және КЖ/ТҚҚ туралы заңның 12-бабына сәйкес жасалған терроризмді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 тұрғысынан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3) Тізбеден және ЖҚҚТҚ тізбесінен клиент (оның өкілі) және бенефициарлық меншік иесі туралы мәліметтер алып тасталған кезде нысаналы қаржы санкцияларын қолдануды тоқтату тәртібі;</w:t>
      </w:r>
    </w:p>
    <w:p>
      <w:pPr>
        <w:spacing w:after="0"/>
        <w:ind w:left="0"/>
        <w:jc w:val="both"/>
      </w:pPr>
      <w:r>
        <w:rPr>
          <w:rFonts w:ascii="Times New Roman"/>
          <w:b w:val="false"/>
          <w:i w:val="false"/>
          <w:color w:val="000000"/>
          <w:sz w:val="28"/>
        </w:rPr>
        <w:t>
      4) қор қызметкерлерінің, оның ішінде жауапты қызметкердің, қордың басқару органының және атқарушы органының өздеріне белгілі болған, қор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қорды (қордың бас ұйымын) бақылайтын заңды тұлға белгілеген КЖ/ТҚҚ жөніндегі талаптарды сипаттау (бар болса);</w:t>
      </w:r>
    </w:p>
    <w:p>
      <w:pPr>
        <w:spacing w:after="0"/>
        <w:ind w:left="0"/>
        <w:jc w:val="both"/>
      </w:pPr>
      <w:r>
        <w:rPr>
          <w:rFonts w:ascii="Times New Roman"/>
          <w:b w:val="false"/>
          <w:i w:val="false"/>
          <w:color w:val="000000"/>
          <w:sz w:val="28"/>
        </w:rPr>
        <w:t>
      6) КЖ/ТҚҚ мақсатында қордың ішкі аудит қызметінің ішкі бақылау тиімділігін бағалау нәтижелері бойынша басқарушылық есептілікті дайындау және қордың басқару органы мен атқарушы органына ұсыну, оның ішінде топ (болған кезде) шеңберінде шоғырландырылған негізде ұсыну тәртібі;</w:t>
      </w:r>
    </w:p>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8) бөлімшенің КЖ/ТҚ бойынша функцияларының, оның ішінде КЖ/ТҚ мақсатында ішкі бақылауды жүзеге асыру кезінде қордың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қордың басқару органымен және атқарушы органымен өзара іс-қимыл жасау рәсімінің сипаттамасы;</w:t>
      </w:r>
    </w:p>
    <w:p>
      <w:pPr>
        <w:spacing w:after="0"/>
        <w:ind w:left="0"/>
        <w:jc w:val="both"/>
      </w:pPr>
      <w:r>
        <w:rPr>
          <w:rFonts w:ascii="Times New Roman"/>
          <w:b w:val="false"/>
          <w:i w:val="false"/>
          <w:color w:val="000000"/>
          <w:sz w:val="28"/>
        </w:rPr>
        <w:t>
      9) қордың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w:t>
      </w:r>
    </w:p>
    <w:bookmarkStart w:name="z8" w:id="4"/>
    <w:p>
      <w:pPr>
        <w:spacing w:after="0"/>
        <w:ind w:left="0"/>
        <w:jc w:val="both"/>
      </w:pPr>
      <w:r>
        <w:rPr>
          <w:rFonts w:ascii="Times New Roman"/>
          <w:b w:val="false"/>
          <w:i w:val="false"/>
          <w:color w:val="000000"/>
          <w:sz w:val="28"/>
        </w:rPr>
        <w:t>
      7. КЖ/ТҚ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4"/>
    <w:p>
      <w:pPr>
        <w:spacing w:after="0"/>
        <w:ind w:left="0"/>
        <w:jc w:val="both"/>
      </w:pPr>
      <w:r>
        <w:rPr>
          <w:rFonts w:ascii="Times New Roman"/>
          <w:b w:val="false"/>
          <w:i w:val="false"/>
          <w:color w:val="000000"/>
          <w:sz w:val="28"/>
        </w:rPr>
        <w:t>
      1) әзірленген және қордың басқару органымен немесе атқарушы органымен келісілген ішкі бақылау қағидаларының және (немесе) оларға өзгерістердің (толықтырулардың), сондай-ақ қорда олардың сақталуына мониторингтің болуын қамтамасыз ету;</w:t>
      </w:r>
    </w:p>
    <w:p>
      <w:pPr>
        <w:spacing w:after="0"/>
        <w:ind w:left="0"/>
        <w:jc w:val="both"/>
      </w:pPr>
      <w:r>
        <w:rPr>
          <w:rFonts w:ascii="Times New Roman"/>
          <w:b w:val="false"/>
          <w:i w:val="false"/>
          <w:color w:val="000000"/>
          <w:sz w:val="28"/>
        </w:rPr>
        <w:t>
      2) КЖ/ТҚҚ туралы заңға сәйкес уәкілетті органға хабарлар ұсынуды ұйымдастыру және олардың ұсынылуын бақылау;</w:t>
      </w:r>
    </w:p>
    <w:p>
      <w:pPr>
        <w:spacing w:after="0"/>
        <w:ind w:left="0"/>
        <w:jc w:val="both"/>
      </w:pPr>
      <w:r>
        <w:rPr>
          <w:rFonts w:ascii="Times New Roman"/>
          <w:b w:val="false"/>
          <w:i w:val="false"/>
          <w:color w:val="000000"/>
          <w:sz w:val="28"/>
        </w:rPr>
        <w:t>
      3) клиенттердің операцияларын күдікті ретінде тану және қордың ішкі құжаттарында көзделген тәртіппен уәкілетті органға хабарлар жіберу қажеттілігі туралы шешімдер қабылдау;</w:t>
      </w:r>
    </w:p>
    <w:p>
      <w:pPr>
        <w:spacing w:after="0"/>
        <w:ind w:left="0"/>
        <w:jc w:val="both"/>
      </w:pPr>
      <w:r>
        <w:rPr>
          <w:rFonts w:ascii="Times New Roman"/>
          <w:b w:val="false"/>
          <w:i w:val="false"/>
          <w:color w:val="000000"/>
          <w:sz w:val="28"/>
        </w:rPr>
        <w:t>
      4) уәкілетті органды анықталған клиенттер мен нысаналы қаржылық санкциялар қолдану бойынша қабылданған шаралар туралы хабардар ету;</w:t>
      </w:r>
    </w:p>
    <w:p>
      <w:pPr>
        <w:spacing w:after="0"/>
        <w:ind w:left="0"/>
        <w:jc w:val="both"/>
      </w:pPr>
      <w:r>
        <w:rPr>
          <w:rFonts w:ascii="Times New Roman"/>
          <w:b w:val="false"/>
          <w:i w:val="false"/>
          <w:color w:val="000000"/>
          <w:sz w:val="28"/>
        </w:rPr>
        <w:t>
      5) КЖ/ТҚҚ туралы заңда және (немесе) шарттарда көзделген жағдайларда және тәртіппен клиенттердің операциялар жүргізуден бас тарту туралы шешімдер қабылдау не келісу;</w:t>
      </w:r>
    </w:p>
    <w:p>
      <w:pPr>
        <w:spacing w:after="0"/>
        <w:ind w:left="0"/>
        <w:jc w:val="both"/>
      </w:pPr>
      <w:r>
        <w:rPr>
          <w:rFonts w:ascii="Times New Roman"/>
          <w:b w:val="false"/>
          <w:i w:val="false"/>
          <w:color w:val="000000"/>
          <w:sz w:val="28"/>
        </w:rPr>
        <w:t>
      6) қордың басқару органына және (немесе) атқарушы органына КЖ/ТҚҚ туралы заңда және (немесе) қордың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p>
      <w:pPr>
        <w:spacing w:after="0"/>
        <w:ind w:left="0"/>
        <w:jc w:val="both"/>
      </w:pPr>
      <w:r>
        <w:rPr>
          <w:rFonts w:ascii="Times New Roman"/>
          <w:b w:val="false"/>
          <w:i w:val="false"/>
          <w:color w:val="000000"/>
          <w:sz w:val="28"/>
        </w:rPr>
        <w:t>
      7) қордың басқару органын анықталған ішкі бақылау қағидаларын бұзушылықтар туралы қордың ішкі құжаттарында көзделген тәртіппен хабардар ету;</w:t>
      </w:r>
    </w:p>
    <w:p>
      <w:pPr>
        <w:spacing w:after="0"/>
        <w:ind w:left="0"/>
        <w:jc w:val="both"/>
      </w:pPr>
      <w:r>
        <w:rPr>
          <w:rFonts w:ascii="Times New Roman"/>
          <w:b w:val="false"/>
          <w:i w:val="false"/>
          <w:color w:val="000000"/>
          <w:sz w:val="28"/>
        </w:rPr>
        <w:t>
      8) қордың басқару органына есептерді қалыптастыру үшін КЖ/ТҚҚ мақсатында, оның ішінде топ шеңберінде (бар болса) КЖ/ТҚҚ тәуекелдерін басқару жүйесін жақсарту бойынша ұсынылатын шаралар мен ішкі бақылау қағидаларын іске асыру нәтижелері туралы ақпаратты дайындау;</w:t>
      </w:r>
    </w:p>
    <w:p>
      <w:pPr>
        <w:spacing w:after="0"/>
        <w:ind w:left="0"/>
        <w:jc w:val="both"/>
      </w:pPr>
      <w:r>
        <w:rPr>
          <w:rFonts w:ascii="Times New Roman"/>
          <w:b w:val="false"/>
          <w:i w:val="false"/>
          <w:color w:val="000000"/>
          <w:sz w:val="28"/>
        </w:rPr>
        <w:t>
      9) қордың КЖ/ТҚ процестеріне тартылу тәуекелін бағалау және қаржы нарығы мен қаржы ұйымдарын реттеу, бақылау және қадағалау жөніндегі уәкілетті органға сұратылып отырған ақпарат беру үшін сандық және сапалық көрсеткіштерді жинау бойынша жыл сайын, есепті жылдан кейінгі жылдың 5 ақпанынан кешіктірмей үйлестіру.";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Қор КЖ/ТҚ мақсатында ішкі бақылау мәселелері бойынша процестерді автоматтандыру үшін қордың ішкі бақылау талаптарына сәйкес келетін автоматтандырылған ақпараттық жүйелерді пайдаланады.</w:t>
      </w:r>
    </w:p>
    <w:bookmarkStart w:name="z10" w:id="5"/>
    <w:p>
      <w:pPr>
        <w:spacing w:after="0"/>
        <w:ind w:left="0"/>
        <w:jc w:val="both"/>
      </w:pPr>
      <w:r>
        <w:rPr>
          <w:rFonts w:ascii="Times New Roman"/>
          <w:b w:val="false"/>
          <w:i w:val="false"/>
          <w:color w:val="000000"/>
          <w:sz w:val="28"/>
        </w:rPr>
        <w:t>
      12. КЖ/ТҚ тәуекелдерін басқаруды ұйымдастыру мақсатында қор КЖ/ТҚ тәуекелдерін басқару бағдарламасын әзірлейді.</w:t>
      </w:r>
    </w:p>
    <w:bookmarkEnd w:id="5"/>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p>
      <w:pPr>
        <w:spacing w:after="0"/>
        <w:ind w:left="0"/>
        <w:jc w:val="both"/>
      </w:pPr>
      <w:r>
        <w:rPr>
          <w:rFonts w:ascii="Times New Roman"/>
          <w:b w:val="false"/>
          <w:i w:val="false"/>
          <w:color w:val="000000"/>
          <w:sz w:val="28"/>
        </w:rPr>
        <w:t>
      1) жария лауазымды адам, олардың жұбайы (зайыбы) және жақын туыстары;</w:t>
      </w:r>
    </w:p>
    <w:p>
      <w:pPr>
        <w:spacing w:after="0"/>
        <w:ind w:left="0"/>
        <w:jc w:val="both"/>
      </w:pPr>
      <w:r>
        <w:rPr>
          <w:rFonts w:ascii="Times New Roman"/>
          <w:b w:val="false"/>
          <w:i w:val="false"/>
          <w:color w:val="000000"/>
          <w:sz w:val="28"/>
        </w:rPr>
        <w:t>
      2) қызметі қолма-қол ақшаның қарқынды айналымымен байланысты заңды тұлғалар және дара кәсіпкерлер, оның ішінде:</w:t>
      </w:r>
    </w:p>
    <w:p>
      <w:pPr>
        <w:spacing w:after="0"/>
        <w:ind w:left="0"/>
        <w:jc w:val="both"/>
      </w:pPr>
      <w:r>
        <w:rPr>
          <w:rFonts w:ascii="Times New Roman"/>
          <w:b w:val="false"/>
          <w:i w:val="false"/>
          <w:color w:val="000000"/>
          <w:sz w:val="28"/>
        </w:rPr>
        <w:t>
      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қызметтерді (қаржылық қызметтерден басқа) жеткізушілердің агенттері (сенім білдірілген өкілдері);</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 көрсететін не одан кіріс алатын тұлғалар;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айналымына байланысты өзге де қызметтерді ұсынатын тұлғалар;</w:t>
      </w:r>
    </w:p>
    <w:p>
      <w:pPr>
        <w:spacing w:after="0"/>
        <w:ind w:left="0"/>
        <w:jc w:val="both"/>
      </w:pPr>
      <w:r>
        <w:rPr>
          <w:rFonts w:ascii="Times New Roman"/>
          <w:b w:val="false"/>
          <w:i w:val="false"/>
          <w:color w:val="000000"/>
          <w:sz w:val="28"/>
        </w:rPr>
        <w:t>
      3) инвестициялық портфельді басқарушы брокер-дилерлер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4) "өмірді сақтандыру" саласы бойынша қызметті жүзеге асыратын сақтандыру (қайта сақтандыру) ұйымдары, сақтандыру брокерлері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w:t>
      </w:r>
    </w:p>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7) сақтандыру агенттері ретінде қызметті жүзеге асыратын тұлғалар;</w:t>
      </w:r>
    </w:p>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12) Талаптардың 16-тармағында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13) сенімхат бойынша олардың өкілдері атынан әрекет ететін зейнетақы төлемдерін алушылар.";</w:t>
      </w:r>
    </w:p>
    <w:bookmarkStart w:name="z12" w:id="6"/>
    <w:p>
      <w:pPr>
        <w:spacing w:after="0"/>
        <w:ind w:left="0"/>
        <w:jc w:val="both"/>
      </w:pPr>
      <w:r>
        <w:rPr>
          <w:rFonts w:ascii="Times New Roman"/>
          <w:b w:val="false"/>
          <w:i w:val="false"/>
          <w:color w:val="000000"/>
          <w:sz w:val="28"/>
        </w:rPr>
        <w:t>
      мынадай мазмұндағы 21-1-тармақпен толықтырылсын:</w:t>
      </w:r>
    </w:p>
    <w:bookmarkEnd w:id="6"/>
    <w:p>
      <w:pPr>
        <w:spacing w:after="0"/>
        <w:ind w:left="0"/>
        <w:jc w:val="both"/>
      </w:pPr>
      <w:r>
        <w:rPr>
          <w:rFonts w:ascii="Times New Roman"/>
          <w:b w:val="false"/>
          <w:i w:val="false"/>
          <w:color w:val="000000"/>
          <w:sz w:val="28"/>
        </w:rPr>
        <w:t>
      "21-1. Қор:</w:t>
      </w:r>
    </w:p>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 тәуекелдерін айқындайды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Клиентті тиісінше тексеру бойынша КЖ/ТҚҚ туралы заңның талаптарын іске асыру мақсатында қор клиенттерді (олардың өкілдерін) және бенефициарлық меншік иелерін сәйкестендіру бағдарламасын әзірлейді.</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қордың зейнетақы жарналары салымшысы (оның өкілі), зейнетақы төлемдерін алушы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зейнетақы жарналары салымшысы, зейнетақы төлемдерін алушы және олардың өкілдері туралы Талаптарда көзделген өзге де мәліметтерді алу және тіркеу жөніндегі іс-шараларды жүргізуінен тұрады.</w:t>
      </w:r>
    </w:p>
    <w:p>
      <w:pPr>
        <w:spacing w:after="0"/>
        <w:ind w:left="0"/>
        <w:jc w:val="both"/>
      </w:pPr>
      <w:r>
        <w:rPr>
          <w:rFonts w:ascii="Times New Roman"/>
          <w:b w:val="false"/>
          <w:i w:val="false"/>
          <w:color w:val="000000"/>
          <w:sz w:val="28"/>
        </w:rPr>
        <w:t>
      Бенефициарлық меншік иесін анықтау жөніндегі іс-шараларды қор зейнетақы жарналарының салымшысына қатысты, ал ерікті зейнетақы жарналары есебінен қалыптастырылған зейнетақы төлемдерін жүзеге асыру кезінде осындай зейнетақы төлемдерін алушыға да қатысты жүргізеді.</w:t>
      </w:r>
    </w:p>
    <w:p>
      <w:pPr>
        <w:spacing w:after="0"/>
        <w:ind w:left="0"/>
        <w:jc w:val="both"/>
      </w:pPr>
      <w:r>
        <w:rPr>
          <w:rFonts w:ascii="Times New Roman"/>
          <w:b w:val="false"/>
          <w:i w:val="false"/>
          <w:color w:val="000000"/>
          <w:sz w:val="28"/>
        </w:rPr>
        <w:t xml:space="preserve">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Start w:name="z14" w:id="7"/>
    <w:p>
      <w:pPr>
        <w:spacing w:after="0"/>
        <w:ind w:left="0"/>
        <w:jc w:val="both"/>
      </w:pPr>
      <w:r>
        <w:rPr>
          <w:rFonts w:ascii="Times New Roman"/>
          <w:b w:val="false"/>
          <w:i w:val="false"/>
          <w:color w:val="000000"/>
          <w:sz w:val="28"/>
        </w:rPr>
        <w:t>
      мынадай мазмұндағы 22-1-тармақпен толықтырылсын:</w:t>
      </w:r>
    </w:p>
    <w:bookmarkEnd w:id="7"/>
    <w:p>
      <w:pPr>
        <w:spacing w:after="0"/>
        <w:ind w:left="0"/>
        <w:jc w:val="both"/>
      </w:pPr>
      <w:r>
        <w:rPr>
          <w:rFonts w:ascii="Times New Roman"/>
          <w:b w:val="false"/>
          <w:i w:val="false"/>
          <w:color w:val="000000"/>
          <w:sz w:val="28"/>
        </w:rPr>
        <w:t xml:space="preserve">
      "22-1. КЖ/ТҚҚ туралы заңның 5-бабы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3-1-тармақтарының</w:t>
      </w:r>
      <w:r>
        <w:rPr>
          <w:rFonts w:ascii="Times New Roman"/>
          <w:b w:val="false"/>
          <w:i w:val="false"/>
          <w:color w:val="000000"/>
          <w:sz w:val="28"/>
        </w:rPr>
        <w:t xml:space="preserve"> және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қор:</w:t>
      </w:r>
    </w:p>
    <w:p>
      <w:pPr>
        <w:spacing w:after="0"/>
        <w:ind w:left="0"/>
        <w:jc w:val="both"/>
      </w:pPr>
      <w:r>
        <w:rPr>
          <w:rFonts w:ascii="Times New Roman"/>
          <w:b w:val="false"/>
          <w:i w:val="false"/>
          <w:color w:val="000000"/>
          <w:sz w:val="28"/>
        </w:rPr>
        <w:t>
      1) клиент шекті операция (мәміле) жасаған;</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p>
      <w:pPr>
        <w:spacing w:after="0"/>
        <w:ind w:left="0"/>
        <w:jc w:val="both"/>
      </w:pPr>
      <w:r>
        <w:rPr>
          <w:rFonts w:ascii="Times New Roman"/>
          <w:b w:val="false"/>
          <w:i w:val="false"/>
          <w:color w:val="000000"/>
          <w:sz w:val="28"/>
        </w:rPr>
        <w:t>
      3) клиент КЖ/ТҚ типологияларына, схемалары мен тәсілдеріне сәйкес келетін сипаттамалары бар операция (мәміле) жасаған;</w:t>
      </w:r>
    </w:p>
    <w:p>
      <w:pPr>
        <w:spacing w:after="0"/>
        <w:ind w:left="0"/>
        <w:jc w:val="both"/>
      </w:pPr>
      <w:r>
        <w:rPr>
          <w:rFonts w:ascii="Times New Roman"/>
          <w:b w:val="false"/>
          <w:i w:val="false"/>
          <w:color w:val="000000"/>
          <w:sz w:val="28"/>
        </w:rPr>
        <w:t xml:space="preserve">
      4) клиент ерекше операция (мәміле) жасаған; </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 Талаптардың 22-1 және </w:t>
      </w:r>
      <w:r>
        <w:rPr>
          <w:rFonts w:ascii="Times New Roman"/>
          <w:b w:val="false"/>
          <w:i w:val="false"/>
          <w:color w:val="000000"/>
          <w:sz w:val="28"/>
        </w:rPr>
        <w:t>23-тармақтарына</w:t>
      </w:r>
      <w:r>
        <w:rPr>
          <w:rFonts w:ascii="Times New Roman"/>
          <w:b w:val="false"/>
          <w:i w:val="false"/>
          <w:color w:val="000000"/>
          <w:sz w:val="28"/>
        </w:rPr>
        <w:t xml:space="preserve"> сәйкес алынған мәліметтерді қор клиенттің досьесіне енгізеді, ол қорда клиентпен іскерлік қатынастардың барлық кезеңі ішінде және олар тоқтатылған күннен бастап кемінде бес жыл сақталады.</w:t>
      </w:r>
    </w:p>
    <w:p>
      <w:pPr>
        <w:spacing w:after="0"/>
        <w:ind w:left="0"/>
        <w:jc w:val="both"/>
      </w:pPr>
      <w:r>
        <w:rPr>
          <w:rFonts w:ascii="Times New Roman"/>
          <w:b w:val="false"/>
          <w:i w:val="false"/>
          <w:color w:val="000000"/>
          <w:sz w:val="28"/>
        </w:rPr>
        <w:t>
      Қор ішкі құжаттарға сәйкес досье жүргізетін клиенттердің топтары мыналарды қамтиды, бірақ олармен шектелмейді: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xml:space="preserve">
      Қор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қор клиенттің досьесіне енгізу (қосу) үшін клиенттерін тиісінше тексеру шараларына қор сүйенетін басқа қаржы мониторингі субъектілерінен клиент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bookmarkStart w:name="z16" w:id="8"/>
    <w:p>
      <w:pPr>
        <w:spacing w:after="0"/>
        <w:ind w:left="0"/>
        <w:jc w:val="both"/>
      </w:pPr>
      <w:r>
        <w:rPr>
          <w:rFonts w:ascii="Times New Roman"/>
          <w:b w:val="false"/>
          <w:i w:val="false"/>
          <w:color w:val="000000"/>
          <w:sz w:val="28"/>
        </w:rPr>
        <w:t xml:space="preserve">
      25. Клиентті (оның өкілін) және бенефициарлық меншік иесін сәйкестендіру процесінде қор мұндай клиенттің (оның өкілінің) және бенефициарлық меншік иесінің Тізбеде және ЖҚҚТҚ тізбесінде болуына тексеру жүргізеді. </w:t>
      </w:r>
    </w:p>
    <w:bookmarkEnd w:id="8"/>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p>
      <w:pPr>
        <w:spacing w:after="0"/>
        <w:ind w:left="0"/>
        <w:jc w:val="both"/>
      </w:pPr>
      <w:r>
        <w:rPr>
          <w:rFonts w:ascii="Times New Roman"/>
          <w:b w:val="false"/>
          <w:i w:val="false"/>
          <w:color w:val="000000"/>
          <w:sz w:val="28"/>
        </w:rPr>
        <w:t>
      Қор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p>
      <w:pPr>
        <w:spacing w:after="0"/>
        <w:ind w:left="0"/>
        <w:jc w:val="both"/>
      </w:pPr>
      <w:r>
        <w:rPr>
          <w:rFonts w:ascii="Times New Roman"/>
          <w:b w:val="false"/>
          <w:i w:val="false"/>
          <w:color w:val="000000"/>
          <w:sz w:val="28"/>
        </w:rPr>
        <w:t>
      Қор шетелдік жария лауазымды адамға (бұдан әрі – ШЖЛА), оның жұбайына (зайыбына) және жақын туыстарына қатысты:</w:t>
      </w:r>
    </w:p>
    <w:p>
      <w:pPr>
        <w:spacing w:after="0"/>
        <w:ind w:left="0"/>
        <w:jc w:val="both"/>
      </w:pPr>
      <w:r>
        <w:rPr>
          <w:rFonts w:ascii="Times New Roman"/>
          <w:b w:val="false"/>
          <w:i w:val="false"/>
          <w:color w:val="000000"/>
          <w:sz w:val="28"/>
        </w:rPr>
        <w:t>
      1) ШЖЛА-ның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қордың басшы қызметкерінің мұндай клиенттермен (олардың өкілдерімен) және бенефициарлық меншік иелерімен іскерлік қатынастар орнатуға, оны жалғастыруға рұқсатын алады;</w:t>
      </w:r>
    </w:p>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 қабылдайды.</w:t>
      </w:r>
    </w:p>
    <w:p>
      <w:pPr>
        <w:spacing w:after="0"/>
        <w:ind w:left="0"/>
        <w:jc w:val="both"/>
      </w:pPr>
      <w:r>
        <w:rPr>
          <w:rFonts w:ascii="Times New Roman"/>
          <w:b w:val="false"/>
          <w:i w:val="false"/>
          <w:color w:val="000000"/>
          <w:sz w:val="28"/>
        </w:rPr>
        <w:t>
      Тәуекелдің жоғары деңгейі берілген ШЖЛА-ға, оның жұбайына (зайыбына) және жақын туыстарына қатысты қор қосымша осы тармақтың төртінші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Көші-қон карточкалары туралы мәліметтерді Еуразиялық экономикалық одаққа кіретін мемлекеттердің азаматтарына қатысты алу талап етілмейді.</w:t>
      </w:r>
    </w:p>
    <w:p>
      <w:pPr>
        <w:spacing w:after="0"/>
        <w:ind w:left="0"/>
        <w:jc w:val="both"/>
      </w:pPr>
      <w:r>
        <w:rPr>
          <w:rFonts w:ascii="Times New Roman"/>
          <w:b w:val="false"/>
          <w:i w:val="false"/>
          <w:color w:val="000000"/>
          <w:sz w:val="28"/>
        </w:rPr>
        <w:t xml:space="preserve">
      Қор жеке тұлғаны (заңды тұлғаның басшысын, бенефициарлық меншік иесін) сәйкестендіру кезінде мынадай деректерді белгілейді және тіркейді: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азаматтығы; </w:t>
      </w:r>
    </w:p>
    <w:p>
      <w:pPr>
        <w:spacing w:after="0"/>
        <w:ind w:left="0"/>
        <w:jc w:val="both"/>
      </w:pPr>
      <w:r>
        <w:rPr>
          <w:rFonts w:ascii="Times New Roman"/>
          <w:b w:val="false"/>
          <w:i w:val="false"/>
          <w:color w:val="000000"/>
          <w:sz w:val="28"/>
        </w:rPr>
        <w:t xml:space="preserve">
      туған күні және жері;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жеке басты куәландыратын құжаттың және (немесе) оның негізінде сәйкестендіру жүргізілетін өзге де құжаттың деректемелері;</w:t>
      </w:r>
    </w:p>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p>
      <w:pPr>
        <w:spacing w:after="0"/>
        <w:ind w:left="0"/>
        <w:jc w:val="both"/>
      </w:pPr>
      <w:r>
        <w:rPr>
          <w:rFonts w:ascii="Times New Roman"/>
          <w:b w:val="false"/>
          <w:i w:val="false"/>
          <w:color w:val="000000"/>
          <w:sz w:val="28"/>
        </w:rPr>
        <w:t xml:space="preserve">
      қызмет түрі (дара кәсіпкерлер үшін). </w:t>
      </w:r>
    </w:p>
    <w:p>
      <w:pPr>
        <w:spacing w:after="0"/>
        <w:ind w:left="0"/>
        <w:jc w:val="both"/>
      </w:pPr>
      <w:r>
        <w:rPr>
          <w:rFonts w:ascii="Times New Roman"/>
          <w:b w:val="false"/>
          <w:i w:val="false"/>
          <w:color w:val="000000"/>
          <w:sz w:val="28"/>
        </w:rPr>
        <w:t>
      Қор заңды тұлға-клиентті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заңды тұлғаның тіркеу нөмірі және мемлекеттік тіркелген күні, тіркеуші органның атауы (олар бар болса); </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xml:space="preserve">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 </w:t>
      </w:r>
    </w:p>
    <w:p>
      <w:pPr>
        <w:spacing w:after="0"/>
        <w:ind w:left="0"/>
        <w:jc w:val="both"/>
      </w:pPr>
      <w:r>
        <w:rPr>
          <w:rFonts w:ascii="Times New Roman"/>
          <w:b w:val="false"/>
          <w:i w:val="false"/>
          <w:color w:val="000000"/>
          <w:sz w:val="28"/>
        </w:rPr>
        <w:t xml:space="preserve">
      басшы (заңды тұлға-клиенттің атынан әрекет етуге уәкілетті өзге тұлға), қаржылық құжаттарға қол қою құқығы бар тұлға туралы деректер; </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бенефициарлық меншік иелері туралы деректер.";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"27. Клиентті, оның өкілін және бенефициарлық меншік иесін сәйкестендіру бағдарламасына мыналар кіреді, бірақ олармен шектелмейді: </w:t>
      </w:r>
    </w:p>
    <w:p>
      <w:pPr>
        <w:spacing w:after="0"/>
        <w:ind w:left="0"/>
        <w:jc w:val="both"/>
      </w:pPr>
      <w:r>
        <w:rPr>
          <w:rFonts w:ascii="Times New Roman"/>
          <w:b w:val="false"/>
          <w:i w:val="false"/>
          <w:color w:val="000000"/>
          <w:sz w:val="28"/>
        </w:rPr>
        <w:t>
      1) қордың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клиенттерді тиісінше тексерудің күшейтілген шаралары;</w:t>
      </w:r>
    </w:p>
    <w:p>
      <w:pPr>
        <w:spacing w:after="0"/>
        <w:ind w:left="0"/>
        <w:jc w:val="both"/>
      </w:pPr>
      <w:r>
        <w:rPr>
          <w:rFonts w:ascii="Times New Roman"/>
          <w:b w:val="false"/>
          <w:i w:val="false"/>
          <w:color w:val="000000"/>
          <w:sz w:val="28"/>
        </w:rPr>
        <w:t>
      3) қор клиенттер (олардың өкілдері) арасынан қызмет көрсетілетін немесе қызмет көрсетуге қабылданатын шетелдік жария лауазымды тұлғаларды, олардың жұбайларын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6)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ерекшеліктері;</w:t>
      </w:r>
    </w:p>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p>
      <w:pPr>
        <w:spacing w:after="0"/>
        <w:ind w:left="0"/>
        <w:jc w:val="both"/>
      </w:pPr>
      <w:r>
        <w:rPr>
          <w:rFonts w:ascii="Times New Roman"/>
          <w:b w:val="false"/>
          <w:i w:val="false"/>
          <w:color w:val="000000"/>
          <w:sz w:val="28"/>
        </w:rPr>
        <w:t xml:space="preserve">
      11) КЖ/ТҚҚ туралы заңның 5-бабы </w:t>
      </w:r>
      <w:r>
        <w:rPr>
          <w:rFonts w:ascii="Times New Roman"/>
          <w:b w:val="false"/>
          <w:i w:val="false"/>
          <w:color w:val="000000"/>
          <w:sz w:val="28"/>
        </w:rPr>
        <w:t>5-тармағының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мен тәртіп бойынша клиенттердің бенефициарлық меншік иелері туралы мәліметтерді қордың сұратуы бойынша алу және ұсыну тәртібі.</w:t>
      </w:r>
    </w:p>
    <w:p>
      <w:pPr>
        <w:spacing w:after="0"/>
        <w:ind w:left="0"/>
        <w:jc w:val="both"/>
      </w:pPr>
      <w:r>
        <w:rPr>
          <w:rFonts w:ascii="Times New Roman"/>
          <w:b w:val="false"/>
          <w:i w:val="false"/>
          <w:color w:val="000000"/>
          <w:sz w:val="28"/>
        </w:rPr>
        <w:t xml:space="preserve">
      Егер қор КЖ/ТҚҚ туралы заңға сәйкес шарт негізінде өзге тұлғаға клиенттерге (олардың өкілдеріне) және бенефициарлық меншік иелеріне қатысты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шараларды қолдануды тапсырса, қор мұндай тұлғалармен өзара іс-қимыл қағидаларын әзірлейді, олар мыналарды:</w:t>
      </w:r>
    </w:p>
    <w:p>
      <w:pPr>
        <w:spacing w:after="0"/>
        <w:ind w:left="0"/>
        <w:jc w:val="both"/>
      </w:pPr>
      <w:r>
        <w:rPr>
          <w:rFonts w:ascii="Times New Roman"/>
          <w:b w:val="false"/>
          <w:i w:val="false"/>
          <w:color w:val="000000"/>
          <w:sz w:val="28"/>
        </w:rPr>
        <w:t xml:space="preserve">
      қордың сәйкестендіру жүргізу тапсырылған адамдармен шарттар жасасу рәсімін, сондай-ақ осындай шарттар жасасуға уәкілеттік берілген қордың лауазымды адамдарының тізбесін; </w:t>
      </w:r>
    </w:p>
    <w:p>
      <w:pPr>
        <w:spacing w:after="0"/>
        <w:ind w:left="0"/>
        <w:jc w:val="both"/>
      </w:pPr>
      <w:r>
        <w:rPr>
          <w:rFonts w:ascii="Times New Roman"/>
          <w:b w:val="false"/>
          <w:i w:val="false"/>
          <w:color w:val="000000"/>
          <w:sz w:val="28"/>
        </w:rPr>
        <w:t>
       сәйкестендіруді жүргізу тапсырылған қор мен тұлғалар арасында жасалған шарттарға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жүргізу тапсырылған адамдардың клиентті (оның өкілін) және бенефициарлық меншік иесін сәйкестендіруді жүргізу кезінде алынған мәліметтерді қорға ұсыну рәсімі мен мерзімдерін;</w:t>
      </w:r>
    </w:p>
    <w:p>
      <w:pPr>
        <w:spacing w:after="0"/>
        <w:ind w:left="0"/>
        <w:jc w:val="both"/>
      </w:pPr>
      <w:r>
        <w:rPr>
          <w:rFonts w:ascii="Times New Roman"/>
          <w:b w:val="false"/>
          <w:i w:val="false"/>
          <w:color w:val="000000"/>
          <w:sz w:val="28"/>
        </w:rPr>
        <w:t>
       қорға алынған мәліметтерді беру рәсімін, мерзімдері мен толықтығын, сондай-ақ анықталған бұзушылықтарды жою бойынша қор қабылдайтын шараларды қоса алғанда, қордың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жүзеге асыру рәсімін;</w:t>
      </w:r>
    </w:p>
    <w:p>
      <w:pPr>
        <w:spacing w:after="0"/>
        <w:ind w:left="0"/>
        <w:jc w:val="both"/>
      </w:pPr>
      <w:r>
        <w:rPr>
          <w:rFonts w:ascii="Times New Roman"/>
          <w:b w:val="false"/>
          <w:i w:val="false"/>
          <w:color w:val="000000"/>
          <w:sz w:val="28"/>
        </w:rPr>
        <w:t>
       қордың сәйкестендіру жөніндегі талаптарды, оның ішінде рәсімдерді, алынған мәліметтерді қорға берудің мерзімдері мен толықтығын сақтамаған жағдайда, сәйкестендіру жүргізу тапсырылған адамдармен шартты орындаудан біржақты бас тарту туралы шешім қабылдау негіздерін, рәсімі және мерзімдерін;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қордың лауазымды адамдарының тізбесін;</w:t>
      </w:r>
    </w:p>
    <w:p>
      <w:pPr>
        <w:spacing w:after="0"/>
        <w:ind w:left="0"/>
        <w:jc w:val="both"/>
      </w:pPr>
      <w:r>
        <w:rPr>
          <w:rFonts w:ascii="Times New Roman"/>
          <w:b w:val="false"/>
          <w:i w:val="false"/>
          <w:color w:val="000000"/>
          <w:sz w:val="28"/>
        </w:rPr>
        <w:t>
       қорға алынған мәліметтерді беру рәсімін, мерзімдері мен толықтығын қоса алғанда, қорға сәйкестендіру жүргізу тапсырылған тұлғалардың клиентті (оның өкілін) және бенефициарлық меншік иесін сәйкестендіру жөніндегі талаптарды сақтамағаны үшін жауапкершілігі туралы ережелерді;</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жөніндегі талаптарды орындау мақсатында қордың оларға әдіснамалық көмек көрсету мәселелері бойынша сәйкестендіруді жүргізу тапсырылған адамдармен өзара іс-қимыл жасау рәсімін қамтиды.</w:t>
      </w:r>
    </w:p>
    <w:p>
      <w:pPr>
        <w:spacing w:after="0"/>
        <w:ind w:left="0"/>
        <w:jc w:val="both"/>
      </w:pPr>
      <w:r>
        <w:rPr>
          <w:rFonts w:ascii="Times New Roman"/>
          <w:b w:val="false"/>
          <w:i w:val="false"/>
          <w:color w:val="000000"/>
          <w:sz w:val="28"/>
        </w:rPr>
        <w:t>
      Қордың өзара іс-қимыл қағидаларына қосымша талаптар енгізуіне рұқсат етіледі.";</w:t>
      </w:r>
    </w:p>
    <w:bookmarkStart w:name="z18" w:id="9"/>
    <w:p>
      <w:pPr>
        <w:spacing w:after="0"/>
        <w:ind w:left="0"/>
        <w:jc w:val="both"/>
      </w:pPr>
      <w:r>
        <w:rPr>
          <w:rFonts w:ascii="Times New Roman"/>
          <w:b w:val="false"/>
          <w:i w:val="false"/>
          <w:color w:val="000000"/>
          <w:sz w:val="28"/>
        </w:rPr>
        <w:t>
      мынадай мазмұндағы 27-1-тармақпен толықтырылсын:</w:t>
      </w:r>
    </w:p>
    <w:bookmarkEnd w:id="9"/>
    <w:p>
      <w:pPr>
        <w:spacing w:after="0"/>
        <w:ind w:left="0"/>
        <w:jc w:val="both"/>
      </w:pPr>
      <w:r>
        <w:rPr>
          <w:rFonts w:ascii="Times New Roman"/>
          <w:b w:val="false"/>
          <w:i w:val="false"/>
          <w:color w:val="000000"/>
          <w:sz w:val="28"/>
        </w:rPr>
        <w:t>
      "27-1.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Клиенттің операцияларын зерделеу дәрежесін қор клиенттің (клиенттер тобының) тәуекел деңгейін ескере отырып, сондай-ақ қордың қолда бар КЖ/ТҚ сценарийлерін (схемаларын) және (немесе) күрделі, ерекше, күдікті операциялардың белгілерін ескере отырып айқындайды.</w:t>
      </w:r>
    </w:p>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қор клиент белгілі бір уақыт кезеңінде, бірақ кемінде соңғы айда жүргізетін (жүргізген) операцияларды зерделейді.</w:t>
      </w:r>
    </w:p>
    <w:bookmarkStart w:name="z20" w:id="10"/>
    <w:p>
      <w:pPr>
        <w:spacing w:after="0"/>
        <w:ind w:left="0"/>
        <w:jc w:val="both"/>
      </w:pPr>
      <w:r>
        <w:rPr>
          <w:rFonts w:ascii="Times New Roman"/>
          <w:b w:val="false"/>
          <w:i w:val="false"/>
          <w:color w:val="000000"/>
          <w:sz w:val="28"/>
        </w:rPr>
        <w:t>
      32. Клиенттер операцияларының мониторингі және оны зерделеу бағдарламасы мыналарды қамтиды, бірақ олармен шектелмейді:</w:t>
      </w:r>
    </w:p>
    <w:bookmarkEnd w:id="10"/>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күдікті операцияларды анықтау белгілерінің негізінде жасалған, сондай-ақ қор дербес әзірлеген күдікті операциялар белгілерінің тізбесі;</w:t>
      </w:r>
    </w:p>
    <w:p>
      <w:pPr>
        <w:spacing w:after="0"/>
        <w:ind w:left="0"/>
        <w:jc w:val="both"/>
      </w:pPr>
      <w:r>
        <w:rPr>
          <w:rFonts w:ascii="Times New Roman"/>
          <w:b w:val="false"/>
          <w:i w:val="false"/>
          <w:color w:val="000000"/>
          <w:sz w:val="28"/>
        </w:rPr>
        <w:t xml:space="preserve">
      2) қор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 </w:t>
      </w:r>
    </w:p>
    <w:p>
      <w:pPr>
        <w:spacing w:after="0"/>
        <w:ind w:left="0"/>
        <w:jc w:val="both"/>
      </w:pPr>
      <w:r>
        <w:rPr>
          <w:rFonts w:ascii="Times New Roman"/>
          <w:b w:val="false"/>
          <w:i w:val="false"/>
          <w:color w:val="000000"/>
          <w:sz w:val="28"/>
        </w:rPr>
        <w:t>
      3) қор бөлімшелерінің (қызметкерлерінің) арасында шекті, күрделі, әдеттегіден тыс, күдікті операцияларды анықтау бойынша міндеттерді бөлу және бөлімшелер (қызметкерлер) арасында беру;</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туралы мәліметтерді тіркеу (оның ішінде тіркеу тәсілдері) тәртібі;</w:t>
      </w:r>
    </w:p>
    <w:p>
      <w:pPr>
        <w:spacing w:after="0"/>
        <w:ind w:left="0"/>
        <w:jc w:val="both"/>
      </w:pPr>
      <w:r>
        <w:rPr>
          <w:rFonts w:ascii="Times New Roman"/>
          <w:b w:val="false"/>
          <w:i w:val="false"/>
          <w:color w:val="000000"/>
          <w:sz w:val="28"/>
        </w:rPr>
        <w:t>
      6) клиент жүйелі түрде және (немесе) айтарлықтай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p>
      <w:pPr>
        <w:spacing w:after="0"/>
        <w:ind w:left="0"/>
        <w:jc w:val="both"/>
      </w:pPr>
      <w:r>
        <w:rPr>
          <w:rFonts w:ascii="Times New Roman"/>
          <w:b w:val="false"/>
          <w:i w:val="false"/>
          <w:color w:val="000000"/>
          <w:sz w:val="28"/>
        </w:rPr>
        <w:t>
      8) шекті және күдікті операцияның анықталғаны туралы қордың басқару органын, атқарушы органын және қордың лауазымды адамдарын хабардар ету (қажет болған кезде) тәртібі.".</w:t>
      </w:r>
    </w:p>
    <w:bookmarkStart w:name="z21" w:id="1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тармақың 2) тармақшасында көзделген іс-шараның орындалуы туралы мәліметтерді ұсынуды қамтамасыз етсін.</w:t>
      </w:r>
    </w:p>
    <w:bookmarkStart w:name="z22" w:id="1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2"/>
    <w:bookmarkStart w:name="z23"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отыз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 </w:t>
            </w:r>
          </w:p>
          <w:p>
            <w:pPr>
              <w:spacing w:after="20"/>
              <w:ind w:left="20"/>
              <w:jc w:val="both"/>
            </w:pP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Қаржылық мониторинг агенттігі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