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c4f1" w14:textId="4a7c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бірыңғай жинақтаушы зейнетақы қоры және ерікті жинақтаушы зейнетақы қорлары үшін қойылатын талаптарды бекіту туралы" Қазақстан Республикасының Қаржы нарығын реттеу және дамыту агенттігі Басқармасының 2020 жылғы 12 қазандағы № 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24 ақпандағы № 17 қаулысы. Қазақстан Республикасының Әділет министрлігінде 2022 жылғы 28 ақпанда № 26967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 </w:t>
      </w:r>
    </w:p>
    <w:bookmarkStart w:name="z1" w:id="0"/>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бірыңғай жинақтаушы зейнетақы қоры және ерікті жинақтаушы зейнетақы қорлары үшін қойылатын талаптарды бекіту туралы" Қазақстан Республикасының Қаржы нарығын реттеу және дамыту агенттігі Басқармасының 2020 жылғы 12 қазандағы № 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21434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бірыңғай жинақтаушы зейнетақы қоры және ерікті жинақтаушы зейнетақы қорлары үшін қойылатын </w:t>
      </w:r>
      <w:r>
        <w:rPr>
          <w:rFonts w:ascii="Times New Roman"/>
          <w:b w:val="false"/>
          <w:i w:val="false"/>
          <w:color w:val="000000"/>
          <w:sz w:val="28"/>
        </w:rPr>
        <w:t>талаптарда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жоғарғы оң жақ бұрыштағы мәтін мынадай редакцияда жазылсын: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95 қаулысымен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Талаптарда қолданылатын ұғымдар КЖ/ТҚҚ туралы заңда және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мағыналарында пайдаланылады.</w:t>
      </w:r>
    </w:p>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бірыңғай жинақтаушы зейнетақы қоры және ерікті жинақтаушы зейнетақы қорлары (бұдан әрі – қор) дербес әзірлеген күдікті операцияны айқындау белгілері ескеріле отырып, КЖ/ТҚҚ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p>
      <w:pPr>
        <w:spacing w:after="0"/>
        <w:ind w:left="0"/>
        <w:jc w:val="both"/>
      </w:pPr>
      <w:r>
        <w:rPr>
          <w:rFonts w:ascii="Times New Roman"/>
          <w:b w:val="false"/>
          <w:i w:val="false"/>
          <w:color w:val="000000"/>
          <w:sz w:val="28"/>
        </w:rPr>
        <w:t>
      2) клиент – қордың қызметтерін алатын жеке тұлға және (немесе) заңды тұлға;</w:t>
      </w:r>
    </w:p>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тәуекелдері (бұдан әрі – КЖ/ТҚ тәуекелдері) – қорды қылмыстық жолмен алынған кірістерді заңдастыру (жылыстату), терроризмді қаржыландыру процестеріне қасақана немесе қасақана емес тарту тәуекелдері (бұдан әрі – КЖ/ТҚ);</w:t>
      </w:r>
    </w:p>
    <w:p>
      <w:pPr>
        <w:spacing w:after="0"/>
        <w:ind w:left="0"/>
        <w:jc w:val="both"/>
      </w:pPr>
      <w:r>
        <w:rPr>
          <w:rFonts w:ascii="Times New Roman"/>
          <w:b w:val="false"/>
          <w:i w:val="false"/>
          <w:color w:val="000000"/>
          <w:sz w:val="28"/>
        </w:rPr>
        <w:t>
      4) КЖ/ТҚ тәуекелдерін басқару – қордың КЖ/ТҚ тәуекелдерін анықтау, бағалау, мониторингтеу, сондай-ақ оларды азайту бойынша қабылдайтын шаралар жиынтығы (көрсетілетін қызметтерге, клиенттерге, сондай-ақ клиенттер жүргізетін операцияларға қатысты);</w:t>
      </w:r>
    </w:p>
    <w:p>
      <w:pPr>
        <w:spacing w:after="0"/>
        <w:ind w:left="0"/>
        <w:jc w:val="both"/>
      </w:pPr>
      <w:r>
        <w:rPr>
          <w:rFonts w:ascii="Times New Roman"/>
          <w:b w:val="false"/>
          <w:i w:val="false"/>
          <w:color w:val="000000"/>
          <w:sz w:val="28"/>
        </w:rPr>
        <w:t>
      5) ұлттық жария лауазымды адам (бұдан әрі – ҰЖЛА):</w:t>
      </w:r>
    </w:p>
    <w:p>
      <w:pPr>
        <w:spacing w:after="0"/>
        <w:ind w:left="0"/>
        <w:jc w:val="both"/>
      </w:pPr>
      <w:r>
        <w:rPr>
          <w:rFonts w:ascii="Times New Roman"/>
          <w:b w:val="false"/>
          <w:i w:val="false"/>
          <w:color w:val="000000"/>
          <w:sz w:val="28"/>
        </w:rPr>
        <w:t>
      жауапты мемлекеттік лауазымды атқаратын адам;</w:t>
      </w:r>
    </w:p>
    <w:p>
      <w:pPr>
        <w:spacing w:after="0"/>
        <w:ind w:left="0"/>
        <w:jc w:val="both"/>
      </w:pPr>
      <w:r>
        <w:rPr>
          <w:rFonts w:ascii="Times New Roman"/>
          <w:b w:val="false"/>
          <w:i w:val="false"/>
          <w:color w:val="000000"/>
          <w:sz w:val="28"/>
        </w:rPr>
        <w:t xml:space="preserve">
      лауазымды адам; </w:t>
      </w:r>
    </w:p>
    <w:p>
      <w:pPr>
        <w:spacing w:after="0"/>
        <w:ind w:left="0"/>
        <w:jc w:val="both"/>
      </w:pPr>
      <w:r>
        <w:rPr>
          <w:rFonts w:ascii="Times New Roman"/>
          <w:b w:val="false"/>
          <w:i w:val="false"/>
          <w:color w:val="000000"/>
          <w:sz w:val="28"/>
        </w:rPr>
        <w:t>
      мемлекеттік функцияларды орындауға уәкілетті адам;</w:t>
      </w:r>
    </w:p>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p>
      <w:pPr>
        <w:spacing w:after="0"/>
        <w:ind w:left="0"/>
        <w:jc w:val="both"/>
      </w:pPr>
      <w:r>
        <w:rPr>
          <w:rFonts w:ascii="Times New Roman"/>
          <w:b w:val="false"/>
          <w:i w:val="false"/>
          <w:color w:val="000000"/>
          <w:sz w:val="28"/>
        </w:rPr>
        <w:t>
      6)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w:t>
      </w:r>
    </w:p>
    <w:p>
      <w:pPr>
        <w:spacing w:after="0"/>
        <w:ind w:left="0"/>
        <w:jc w:val="both"/>
      </w:pPr>
      <w:r>
        <w:rPr>
          <w:rFonts w:ascii="Times New Roman"/>
          <w:b w:val="false"/>
          <w:i w:val="false"/>
          <w:color w:val="000000"/>
          <w:sz w:val="28"/>
        </w:rPr>
        <w:t xml:space="preserve">
      7) шекті операция – клиенттің ақшамен және (немесе) өзге де мүлікпен жүргізілетін, КЖ/ТҚҚ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p>
      <w:pPr>
        <w:spacing w:after="0"/>
        <w:ind w:left="0"/>
        <w:jc w:val="both"/>
      </w:pPr>
      <w:r>
        <w:rPr>
          <w:rFonts w:ascii="Times New Roman"/>
          <w:b w:val="false"/>
          <w:i w:val="false"/>
          <w:color w:val="000000"/>
          <w:sz w:val="28"/>
        </w:rPr>
        <w:t>
      8) шетелдік жария лауазымды адам (бұдан әрі – ШЖЛА):</w:t>
      </w:r>
    </w:p>
    <w:p>
      <w:pPr>
        <w:spacing w:after="0"/>
        <w:ind w:left="0"/>
        <w:jc w:val="both"/>
      </w:pPr>
      <w:r>
        <w:rPr>
          <w:rFonts w:ascii="Times New Roman"/>
          <w:b w:val="false"/>
          <w:i w:val="false"/>
          <w:color w:val="000000"/>
          <w:sz w:val="28"/>
        </w:rPr>
        <w:t>
      шет мемлекеттің заң шығарушы, атқарушы, әкімшілік, сот органдарында немесе қарулы күштерінде қандай да бір лауазымды атқаратын тағайындалатын немесе сайланатын адам;</w:t>
      </w:r>
    </w:p>
    <w:p>
      <w:pPr>
        <w:spacing w:after="0"/>
        <w:ind w:left="0"/>
        <w:jc w:val="both"/>
      </w:pPr>
      <w:r>
        <w:rPr>
          <w:rFonts w:ascii="Times New Roman"/>
          <w:b w:val="false"/>
          <w:i w:val="false"/>
          <w:color w:val="000000"/>
          <w:sz w:val="28"/>
        </w:rPr>
        <w:t>
      шет мемлекет үшін қандай да бір жария функцияны орындайтын адам;</w:t>
      </w:r>
    </w:p>
    <w:p>
      <w:pPr>
        <w:spacing w:after="0"/>
        <w:ind w:left="0"/>
        <w:jc w:val="both"/>
      </w:pPr>
      <w:r>
        <w:rPr>
          <w:rFonts w:ascii="Times New Roman"/>
          <w:b w:val="false"/>
          <w:i w:val="false"/>
          <w:color w:val="000000"/>
          <w:sz w:val="28"/>
        </w:rPr>
        <w:t>
      халықаралық шарттар мәртебесі бар келісімдер негізінде елдер құрған ұйымдарда басшы лауазым атқаратын адам;</w:t>
      </w:r>
    </w:p>
    <w:p>
      <w:pPr>
        <w:spacing w:after="0"/>
        <w:ind w:left="0"/>
        <w:jc w:val="both"/>
      </w:pPr>
      <w:r>
        <w:rPr>
          <w:rFonts w:ascii="Times New Roman"/>
          <w:b w:val="false"/>
          <w:i w:val="false"/>
          <w:color w:val="000000"/>
          <w:sz w:val="28"/>
        </w:rPr>
        <w:t>
      9) іскерлік қатынастар – қордың клиентке зейнетақы жарналарын тарту және зейнетақы төлемдері жөніндегі қызметке жататын қызметтер ұсынуы бойынша қатынастар.";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(бұдан әрі – КЖ/ТҚҚ) мақсатында қор ішкі бақылауды:</w:t>
      </w:r>
    </w:p>
    <w:p>
      <w:pPr>
        <w:spacing w:after="0"/>
        <w:ind w:left="0"/>
        <w:jc w:val="both"/>
      </w:pPr>
      <w:r>
        <w:rPr>
          <w:rFonts w:ascii="Times New Roman"/>
          <w:b w:val="false"/>
          <w:i w:val="false"/>
          <w:color w:val="000000"/>
          <w:sz w:val="28"/>
        </w:rPr>
        <w:t>
      1) қордың КЖ/ТҚҚ туралы заңның талаптарын орындауын қамтамасыз ету;</w:t>
      </w:r>
    </w:p>
    <w:p>
      <w:pPr>
        <w:spacing w:after="0"/>
        <w:ind w:left="0"/>
        <w:jc w:val="both"/>
      </w:pPr>
      <w:r>
        <w:rPr>
          <w:rFonts w:ascii="Times New Roman"/>
          <w:b w:val="false"/>
          <w:i w:val="false"/>
          <w:color w:val="000000"/>
          <w:sz w:val="28"/>
        </w:rPr>
        <w:t>
      2) қордың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p>
      <w:pPr>
        <w:spacing w:after="0"/>
        <w:ind w:left="0"/>
        <w:jc w:val="both"/>
      </w:pPr>
      <w:r>
        <w:rPr>
          <w:rFonts w:ascii="Times New Roman"/>
          <w:b w:val="false"/>
          <w:i w:val="false"/>
          <w:color w:val="000000"/>
          <w:sz w:val="28"/>
        </w:rPr>
        <w:t>
      3) қорды, оның лауазымды тұлғалары мен қызметкерлерін КЖ/ТҚ процестеріне тартуды болдырмау мақсатында жүзеге асырады.</w:t>
      </w:r>
    </w:p>
    <w:p>
      <w:pPr>
        <w:spacing w:after="0"/>
        <w:ind w:left="0"/>
        <w:jc w:val="both"/>
      </w:pPr>
      <w:r>
        <w:rPr>
          <w:rFonts w:ascii="Times New Roman"/>
          <w:b w:val="false"/>
          <w:i w:val="false"/>
          <w:color w:val="000000"/>
          <w:sz w:val="28"/>
        </w:rPr>
        <w:t xml:space="preserve">
      Қор осы тармақтың бірінші бөлігінде көзделген ішкі бақылаудан басқа, КЖ/ТҚҚ туралы заңның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көзделген жаппай қырып-жою қаруын таратудың және оны қаржыландырудың алдын алуға, оған кедергі келтіруге және тоқтатуға қатысты нысаналы қаржылық санкциялар жөніндегі талаптардың сақталуын қосымша жүзеге асырады.</w:t>
      </w:r>
    </w:p>
    <w:bookmarkStart w:name="z6" w:id="3"/>
    <w:p>
      <w:pPr>
        <w:spacing w:after="0"/>
        <w:ind w:left="0"/>
        <w:jc w:val="both"/>
      </w:pPr>
      <w:r>
        <w:rPr>
          <w:rFonts w:ascii="Times New Roman"/>
          <w:b w:val="false"/>
          <w:i w:val="false"/>
          <w:color w:val="000000"/>
          <w:sz w:val="28"/>
        </w:rPr>
        <w:t>
      4. Қорда КЖ/ТҚҚ мақсатында ішкі бақылауды ұйымдастыру шеңберінде қордың ішкі аудит қызметінің КЖ/ТҚҚ мақсатында ішкі бақылаудың тиімділігін бағалауды жүргізуіне қойылатын талаптар қамтылатын ішкі бақылау қағидалары әзірленеді.</w:t>
      </w:r>
    </w:p>
    <w:bookmarkEnd w:id="3"/>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қор оларды Талаптарға сәйкес дербес әзірлейді және олар қордың ішкі құжаты не қордың басқару органы немесе атқарушы органы бекіткен осындай құжаттардың жиынтығы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КЖ/ТҚҚ мақсатында ішкі бақылауды ұйымдастыру бағдарламасы мыналарды қамтиды, бірақ олармен шектелмейді:</w:t>
      </w:r>
    </w:p>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тәртібі;</w:t>
      </w:r>
    </w:p>
    <w:p>
      <w:pPr>
        <w:spacing w:after="0"/>
        <w:ind w:left="0"/>
        <w:jc w:val="both"/>
      </w:pPr>
      <w:r>
        <w:rPr>
          <w:rFonts w:ascii="Times New Roman"/>
          <w:b w:val="false"/>
          <w:i w:val="false"/>
          <w:color w:val="000000"/>
          <w:sz w:val="28"/>
        </w:rPr>
        <w:t xml:space="preserve">
      2) нысаналы қаржы санкцияларын қолдану және КЖ/ТҚҚ туралы заңның 12-бабына сәйкес жасалған терроризмді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болуы тұрғысынан клиентті (оның өкілін) және бенефициарлық меншік иесін тексеру тәртібі;</w:t>
      </w:r>
    </w:p>
    <w:p>
      <w:pPr>
        <w:spacing w:after="0"/>
        <w:ind w:left="0"/>
        <w:jc w:val="both"/>
      </w:pPr>
      <w:r>
        <w:rPr>
          <w:rFonts w:ascii="Times New Roman"/>
          <w:b w:val="false"/>
          <w:i w:val="false"/>
          <w:color w:val="000000"/>
          <w:sz w:val="28"/>
        </w:rPr>
        <w:t>
      3) Тізбеден және ЖҚҚТҚ тізбесінен клиент (оның өкілі) және бенефициарлық меншік иесі туралы мәліметтер алып тасталған кезде нысаналы қаржы санкцияларын қолдануды тоқтату тәртібі;</w:t>
      </w:r>
    </w:p>
    <w:p>
      <w:pPr>
        <w:spacing w:after="0"/>
        <w:ind w:left="0"/>
        <w:jc w:val="both"/>
      </w:pPr>
      <w:r>
        <w:rPr>
          <w:rFonts w:ascii="Times New Roman"/>
          <w:b w:val="false"/>
          <w:i w:val="false"/>
          <w:color w:val="000000"/>
          <w:sz w:val="28"/>
        </w:rPr>
        <w:t>
      4) қор қызметкерлерінің, оның ішінде жауапты қызметкердің, қордың басқару органының және атқарушы органының өздеріне белгілі болған, қор қызметкерлері жол берген КЖ/ТҚҚ туралы заңды, сондай-ақ ішкі бақылау қағидаларын бұзу фактілері туралы хабардар ету тәртібі;</w:t>
      </w:r>
    </w:p>
    <w:p>
      <w:pPr>
        <w:spacing w:after="0"/>
        <w:ind w:left="0"/>
        <w:jc w:val="both"/>
      </w:pPr>
      <w:r>
        <w:rPr>
          <w:rFonts w:ascii="Times New Roman"/>
          <w:b w:val="false"/>
          <w:i w:val="false"/>
          <w:color w:val="000000"/>
          <w:sz w:val="28"/>
        </w:rPr>
        <w:t>
      5) қорды (қордың бас ұйымын) бақылайтын заңды тұлға белгілеген КЖ/ТҚҚ жөніндегі талаптарды сипаттау (бар болса);</w:t>
      </w:r>
    </w:p>
    <w:p>
      <w:pPr>
        <w:spacing w:after="0"/>
        <w:ind w:left="0"/>
        <w:jc w:val="both"/>
      </w:pPr>
      <w:r>
        <w:rPr>
          <w:rFonts w:ascii="Times New Roman"/>
          <w:b w:val="false"/>
          <w:i w:val="false"/>
          <w:color w:val="000000"/>
          <w:sz w:val="28"/>
        </w:rPr>
        <w:t>
      6) КЖ/ТҚҚ мақсатында қордың ішкі аудит қызметінің ішкі бақылау тиімділігін бағалау нәтижелері бойынша басқарушылық есептілікті дайындау және қордың басқару органы мен атқарушы органына ұсыну, оның ішінде топ (болған кезде) шеңберінде шоғырландырылған негізде ұсыну тәртібі;</w:t>
      </w:r>
    </w:p>
    <w:p>
      <w:pPr>
        <w:spacing w:after="0"/>
        <w:ind w:left="0"/>
        <w:jc w:val="both"/>
      </w:pPr>
      <w:r>
        <w:rPr>
          <w:rFonts w:ascii="Times New Roman"/>
          <w:b w:val="false"/>
          <w:i w:val="false"/>
          <w:color w:val="000000"/>
          <w:sz w:val="28"/>
        </w:rPr>
        <w:t>
      7) КЖ/ТҚ тәуекелдерін бағалау нәтижелерін бағалау, айқындау, құжаттамалық тіркеу және жаңарту рәсімі;</w:t>
      </w:r>
    </w:p>
    <w:p>
      <w:pPr>
        <w:spacing w:after="0"/>
        <w:ind w:left="0"/>
        <w:jc w:val="both"/>
      </w:pPr>
      <w:r>
        <w:rPr>
          <w:rFonts w:ascii="Times New Roman"/>
          <w:b w:val="false"/>
          <w:i w:val="false"/>
          <w:color w:val="000000"/>
          <w:sz w:val="28"/>
        </w:rPr>
        <w:t>
      8) бөлімшенің КЖ/ТҚ бойынша функцияларының, оның ішінде КЖ/ТҚ мақсатында ішкі бақылауды жүзеге асыру кезінде қордың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қордың басқару органымен және атқарушы органымен өзара іс-қимыл жасау рәсімінің сипаттамасы;</w:t>
      </w:r>
    </w:p>
    <w:p>
      <w:pPr>
        <w:spacing w:after="0"/>
        <w:ind w:left="0"/>
        <w:jc w:val="both"/>
      </w:pPr>
      <w:r>
        <w:rPr>
          <w:rFonts w:ascii="Times New Roman"/>
          <w:b w:val="false"/>
          <w:i w:val="false"/>
          <w:color w:val="000000"/>
          <w:sz w:val="28"/>
        </w:rPr>
        <w:t>
      9) қордың Қазақстан Республикасында және сол сияқты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w:t>
      </w:r>
    </w:p>
    <w:bookmarkStart w:name="z8" w:id="4"/>
    <w:p>
      <w:pPr>
        <w:spacing w:after="0"/>
        <w:ind w:left="0"/>
        <w:jc w:val="both"/>
      </w:pPr>
      <w:r>
        <w:rPr>
          <w:rFonts w:ascii="Times New Roman"/>
          <w:b w:val="false"/>
          <w:i w:val="false"/>
          <w:color w:val="000000"/>
          <w:sz w:val="28"/>
        </w:rPr>
        <w:t>
      7. КЖ/ТҚ мақсатында ішкі бақылауды ұйымдастыру бағдарламасына сәйкес жауапты қызметкердің және КЖ/ТҚҚ жөніндегі бөлімше қызметкерлерінің функциялары мыналарды қамтиды, бірақ олармен шектелмейді:</w:t>
      </w:r>
    </w:p>
    <w:bookmarkEnd w:id="4"/>
    <w:p>
      <w:pPr>
        <w:spacing w:after="0"/>
        <w:ind w:left="0"/>
        <w:jc w:val="both"/>
      </w:pPr>
      <w:r>
        <w:rPr>
          <w:rFonts w:ascii="Times New Roman"/>
          <w:b w:val="false"/>
          <w:i w:val="false"/>
          <w:color w:val="000000"/>
          <w:sz w:val="28"/>
        </w:rPr>
        <w:t>
      1) әзірленген және қордың басқару органымен немесе атқарушы органымен келісілген ішкі бақылау қағидаларының және (немесе) оларға өзгерістердің (толықтырулардың), сондай-ақ қорда олардың сақталуына мониторингтің болуын қамтамасыз ету;</w:t>
      </w:r>
    </w:p>
    <w:p>
      <w:pPr>
        <w:spacing w:after="0"/>
        <w:ind w:left="0"/>
        <w:jc w:val="both"/>
      </w:pPr>
      <w:r>
        <w:rPr>
          <w:rFonts w:ascii="Times New Roman"/>
          <w:b w:val="false"/>
          <w:i w:val="false"/>
          <w:color w:val="000000"/>
          <w:sz w:val="28"/>
        </w:rPr>
        <w:t>
      2) КЖ/ТҚҚ туралы заңға сәйкес уәкілетті органға хабарлар ұсынуды ұйымдастыру және олардың ұсынылуын бақылау;</w:t>
      </w:r>
    </w:p>
    <w:p>
      <w:pPr>
        <w:spacing w:after="0"/>
        <w:ind w:left="0"/>
        <w:jc w:val="both"/>
      </w:pPr>
      <w:r>
        <w:rPr>
          <w:rFonts w:ascii="Times New Roman"/>
          <w:b w:val="false"/>
          <w:i w:val="false"/>
          <w:color w:val="000000"/>
          <w:sz w:val="28"/>
        </w:rPr>
        <w:t>
      3) клиенттердің операцияларын күдікті ретінде тану және қордың ішкі құжаттарында көзделген тәртіппен уәкілетті органға хабарлар жіберу қажеттілігі туралы шешімдер қабылдау;</w:t>
      </w:r>
    </w:p>
    <w:p>
      <w:pPr>
        <w:spacing w:after="0"/>
        <w:ind w:left="0"/>
        <w:jc w:val="both"/>
      </w:pPr>
      <w:r>
        <w:rPr>
          <w:rFonts w:ascii="Times New Roman"/>
          <w:b w:val="false"/>
          <w:i w:val="false"/>
          <w:color w:val="000000"/>
          <w:sz w:val="28"/>
        </w:rPr>
        <w:t>
      4) уәкілетті органды анықталған клиенттер мен нысаналы қаржылық санкциялар қолдану бойынша қабылданған шаралар туралы хабардар ету;</w:t>
      </w:r>
    </w:p>
    <w:p>
      <w:pPr>
        <w:spacing w:after="0"/>
        <w:ind w:left="0"/>
        <w:jc w:val="both"/>
      </w:pPr>
      <w:r>
        <w:rPr>
          <w:rFonts w:ascii="Times New Roman"/>
          <w:b w:val="false"/>
          <w:i w:val="false"/>
          <w:color w:val="000000"/>
          <w:sz w:val="28"/>
        </w:rPr>
        <w:t>
      5) КЖ/ТҚҚ туралы заңда және (немесе) шарттарда көзделген жағдайларда және тәртіппен клиенттердің операциялар жүргізуден бас тарту туралы шешімдер қабылдау не келісу;</w:t>
      </w:r>
    </w:p>
    <w:p>
      <w:pPr>
        <w:spacing w:after="0"/>
        <w:ind w:left="0"/>
        <w:jc w:val="both"/>
      </w:pPr>
      <w:r>
        <w:rPr>
          <w:rFonts w:ascii="Times New Roman"/>
          <w:b w:val="false"/>
          <w:i w:val="false"/>
          <w:color w:val="000000"/>
          <w:sz w:val="28"/>
        </w:rPr>
        <w:t>
      6) қордың басқару органына және (немесе) атқарушы органына КЖ/ТҚҚ туралы заңда және (немесе) қордың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p>
    <w:p>
      <w:pPr>
        <w:spacing w:after="0"/>
        <w:ind w:left="0"/>
        <w:jc w:val="both"/>
      </w:pPr>
      <w:r>
        <w:rPr>
          <w:rFonts w:ascii="Times New Roman"/>
          <w:b w:val="false"/>
          <w:i w:val="false"/>
          <w:color w:val="000000"/>
          <w:sz w:val="28"/>
        </w:rPr>
        <w:t>
      7) қордың басқару органын анықталған ішкі бақылау қағидаларын бұзушылықтар туралы қордың ішкі құжаттарында көзделген тәртіппен хабардар ету;</w:t>
      </w:r>
    </w:p>
    <w:p>
      <w:pPr>
        <w:spacing w:after="0"/>
        <w:ind w:left="0"/>
        <w:jc w:val="both"/>
      </w:pPr>
      <w:r>
        <w:rPr>
          <w:rFonts w:ascii="Times New Roman"/>
          <w:b w:val="false"/>
          <w:i w:val="false"/>
          <w:color w:val="000000"/>
          <w:sz w:val="28"/>
        </w:rPr>
        <w:t>
      8) қордың басқару органына есептерді қалыптастыру үшін КЖ/ТҚҚ мақсатында, оның ішінде топ шеңберінде (бар болса) КЖ/ТҚҚ тәуекелдерін басқару жүйесін жақсарту бойынша ұсынылатын шаралар мен ішкі бақылау қағидаларын іске асыру нәтижелері туралы ақпаратты дайындау;</w:t>
      </w:r>
    </w:p>
    <w:p>
      <w:pPr>
        <w:spacing w:after="0"/>
        <w:ind w:left="0"/>
        <w:jc w:val="both"/>
      </w:pPr>
      <w:r>
        <w:rPr>
          <w:rFonts w:ascii="Times New Roman"/>
          <w:b w:val="false"/>
          <w:i w:val="false"/>
          <w:color w:val="000000"/>
          <w:sz w:val="28"/>
        </w:rPr>
        <w:t>
      9) қордың КЖ/ТҚ процестеріне тартылу тәуекелін бағалау және қаржы нарығы мен қаржы ұйымдарын реттеу, бақылау және қадағалау жөніндегі уәкілетті органға сұратылып отырған ақпарат беру үшін сандық және сапалық көрсеткіштерді жинау бойынша жыл сайын, есепті жылдан кейінгі жылдың 5 ақпанынан кешіктірмей үйлестіру.";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Қор КЖ/ТҚ мақсатында ішкі бақылау мәселелері бойынша процестерді автоматтандыру үшін қордың ішкі бақылау талаптарына сәйкес келетін автоматтандырылған ақпараттық жүйелерді пайдаланады.</w:t>
      </w:r>
    </w:p>
    <w:bookmarkStart w:name="z10" w:id="5"/>
    <w:p>
      <w:pPr>
        <w:spacing w:after="0"/>
        <w:ind w:left="0"/>
        <w:jc w:val="both"/>
      </w:pPr>
      <w:r>
        <w:rPr>
          <w:rFonts w:ascii="Times New Roman"/>
          <w:b w:val="false"/>
          <w:i w:val="false"/>
          <w:color w:val="000000"/>
          <w:sz w:val="28"/>
        </w:rPr>
        <w:t>
      12. КЖ/ТҚ тәуекелдерін басқаруды ұйымдастыру мақсатында қор КЖ/ТҚ тәуекелдерін басқару бағдарламасын әзірлейді.</w:t>
      </w:r>
    </w:p>
    <w:bookmarkEnd w:id="5"/>
    <w:p>
      <w:pPr>
        <w:spacing w:after="0"/>
        <w:ind w:left="0"/>
        <w:jc w:val="both"/>
      </w:pPr>
      <w:r>
        <w:rPr>
          <w:rFonts w:ascii="Times New Roman"/>
          <w:b w:val="false"/>
          <w:i w:val="false"/>
          <w:color w:val="000000"/>
          <w:sz w:val="28"/>
        </w:rPr>
        <w:t xml:space="preserve">
      Тәуекелдерді бағалау нәтижелері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қаржы нарығы мен қаржы ұйымдарын реттеу, бақылау және қадағалау жөніндегі уәкілетті органның талап етуі бойынша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типтері мыналарды қамтиды, бірақ олармен шектелмейді:</w:t>
      </w:r>
    </w:p>
    <w:p>
      <w:pPr>
        <w:spacing w:after="0"/>
        <w:ind w:left="0"/>
        <w:jc w:val="both"/>
      </w:pPr>
      <w:r>
        <w:rPr>
          <w:rFonts w:ascii="Times New Roman"/>
          <w:b w:val="false"/>
          <w:i w:val="false"/>
          <w:color w:val="000000"/>
          <w:sz w:val="28"/>
        </w:rPr>
        <w:t>
      1) жария лауазымды адам, олардың жұбайы (зайыбы) және жақын туыстары;</w:t>
      </w:r>
    </w:p>
    <w:p>
      <w:pPr>
        <w:spacing w:after="0"/>
        <w:ind w:left="0"/>
        <w:jc w:val="both"/>
      </w:pPr>
      <w:r>
        <w:rPr>
          <w:rFonts w:ascii="Times New Roman"/>
          <w:b w:val="false"/>
          <w:i w:val="false"/>
          <w:color w:val="000000"/>
          <w:sz w:val="28"/>
        </w:rPr>
        <w:t>
      2) қызметі қолма-қол ақшаның қарқынды айналымымен байланысты заңды тұлғалар және дара кәсіпкерлер, оның ішінде:</w:t>
      </w:r>
    </w:p>
    <w:p>
      <w:pPr>
        <w:spacing w:after="0"/>
        <w:ind w:left="0"/>
        <w:jc w:val="both"/>
      </w:pPr>
      <w:r>
        <w:rPr>
          <w:rFonts w:ascii="Times New Roman"/>
          <w:b w:val="false"/>
          <w:i w:val="false"/>
          <w:color w:val="000000"/>
          <w:sz w:val="28"/>
        </w:rPr>
        <w:t>
      Қазақстан Республикасы Ұлттық Банкінің қолма-қол шетел валютасымен айырбастау операцияларына арналған лицензиясы негізінде қызметін тек қана айырбастау пункттері арқылы жүзеге асыратын заңды тұлғалар;</w:t>
      </w:r>
    </w:p>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ұйымдар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микроқаржылық қызметті жүзеге асыратын ұйымдар;</w:t>
      </w:r>
    </w:p>
    <w:p>
      <w:pPr>
        <w:spacing w:after="0"/>
        <w:ind w:left="0"/>
        <w:jc w:val="both"/>
      </w:pPr>
      <w:r>
        <w:rPr>
          <w:rFonts w:ascii="Times New Roman"/>
          <w:b w:val="false"/>
          <w:i w:val="false"/>
          <w:color w:val="000000"/>
          <w:sz w:val="28"/>
        </w:rPr>
        <w:t>
      тұтынушылардан қолма-қол ақшаны, оның ішінде электрондық терминалдар арқылы қабылдауды жүзеге асыратын қызметтерді (қаржылық қызметтерден басқа) жеткізушілердің агенттері (сенім білдірілген өкілдері);</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 көрсететін не одан кіріс алатын тұлғалар;</w:t>
      </w:r>
    </w:p>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айналымына байланысты өзге де қызметтерді ұсынатын тұлғалар;</w:t>
      </w:r>
    </w:p>
    <w:p>
      <w:pPr>
        <w:spacing w:after="0"/>
        <w:ind w:left="0"/>
        <w:jc w:val="both"/>
      </w:pPr>
      <w:r>
        <w:rPr>
          <w:rFonts w:ascii="Times New Roman"/>
          <w:b w:val="false"/>
          <w:i w:val="false"/>
          <w:color w:val="000000"/>
          <w:sz w:val="28"/>
        </w:rPr>
        <w:t>
      3) инвестициялық портфельді басқарушы брокер-дилерлер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4) "өмірді сақтандыру" саласы бойынша қызметті жүзеге асыратын сақтандыру (қайта сақтандыру) ұйымдары, сақтандыру брокерлері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5)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w:t>
      </w:r>
    </w:p>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7) сақтандыру агенттері ретінде қызметті жүзеге асыратын тұлғалар;</w:t>
      </w:r>
    </w:p>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12) Талаптардың 16-тармағында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13) сенімхат бойынша олардың өкілдері атынан әрекет ететін зейнетақы төлемдерін алушылар.";</w:t>
      </w:r>
    </w:p>
    <w:bookmarkStart w:name="z12" w:id="6"/>
    <w:p>
      <w:pPr>
        <w:spacing w:after="0"/>
        <w:ind w:left="0"/>
        <w:jc w:val="both"/>
      </w:pPr>
      <w:r>
        <w:rPr>
          <w:rFonts w:ascii="Times New Roman"/>
          <w:b w:val="false"/>
          <w:i w:val="false"/>
          <w:color w:val="000000"/>
          <w:sz w:val="28"/>
        </w:rPr>
        <w:t>
      мынадай мазмұндағы 21-1-тармақпен толықтырылсын:</w:t>
      </w:r>
    </w:p>
    <w:bookmarkEnd w:id="6"/>
    <w:p>
      <w:pPr>
        <w:spacing w:after="0"/>
        <w:ind w:left="0"/>
        <w:jc w:val="both"/>
      </w:pPr>
      <w:r>
        <w:rPr>
          <w:rFonts w:ascii="Times New Roman"/>
          <w:b w:val="false"/>
          <w:i w:val="false"/>
          <w:color w:val="000000"/>
          <w:sz w:val="28"/>
        </w:rPr>
        <w:t>
      "21-1. Қор:</w:t>
      </w:r>
    </w:p>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 тәуекелдерін айқындайды және бағалайды.</w:t>
      </w:r>
    </w:p>
    <w:p>
      <w:pPr>
        <w:spacing w:after="0"/>
        <w:ind w:left="0"/>
        <w:jc w:val="both"/>
      </w:pPr>
      <w:r>
        <w:rPr>
          <w:rFonts w:ascii="Times New Roman"/>
          <w:b w:val="false"/>
          <w:i w:val="false"/>
          <w:color w:val="000000"/>
          <w:sz w:val="28"/>
        </w:rPr>
        <w:t>
      КЖ/ТҚ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Клиентті тиісінше тексеру бойынша КЖ/ТҚҚ туралы заңның талаптарын іске асыру мақсатында қор клиенттерді (олардың өкілдерін) және бенефициарлық меншік иелерін сәйкестендіру бағдарламасын әзірлейді.</w:t>
      </w:r>
    </w:p>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қордың зейнетақы жарналары салымшысы (оның өкілі), зейнетақы төлемдерін алушы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зейнетақы жарналары салымшысы, зейнетақы төлемдерін алушы және олардың өкілдері туралы Талаптарда көзделген өзге де мәліметтерді алу және тіркеу жөніндегі іс-шараларды жүргізуінен тұрады.</w:t>
      </w:r>
    </w:p>
    <w:p>
      <w:pPr>
        <w:spacing w:after="0"/>
        <w:ind w:left="0"/>
        <w:jc w:val="both"/>
      </w:pPr>
      <w:r>
        <w:rPr>
          <w:rFonts w:ascii="Times New Roman"/>
          <w:b w:val="false"/>
          <w:i w:val="false"/>
          <w:color w:val="000000"/>
          <w:sz w:val="28"/>
        </w:rPr>
        <w:t>
      Бенефициарлық меншік иесін анықтау жөніндегі іс-шараларды қор зейнетақы жарналарының салымшысына қатысты, ал ерікті зейнетақы жарналары есебінен қалыптастырылған зейнетақы төлемдерін жүзеге асыру кезінде осындай зейнетақы төлемдерін алушыға да қатысты жүргізеді.</w:t>
      </w:r>
    </w:p>
    <w:p>
      <w:pPr>
        <w:spacing w:after="0"/>
        <w:ind w:left="0"/>
        <w:jc w:val="both"/>
      </w:pPr>
      <w:r>
        <w:rPr>
          <w:rFonts w:ascii="Times New Roman"/>
          <w:b w:val="false"/>
          <w:i w:val="false"/>
          <w:color w:val="000000"/>
          <w:sz w:val="28"/>
        </w:rPr>
        <w:t xml:space="preserve">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Start w:name="z14" w:id="7"/>
    <w:p>
      <w:pPr>
        <w:spacing w:after="0"/>
        <w:ind w:left="0"/>
        <w:jc w:val="both"/>
      </w:pPr>
      <w:r>
        <w:rPr>
          <w:rFonts w:ascii="Times New Roman"/>
          <w:b w:val="false"/>
          <w:i w:val="false"/>
          <w:color w:val="000000"/>
          <w:sz w:val="28"/>
        </w:rPr>
        <w:t>
      мынадай мазмұндағы 22-1-тармақпен толықтырылсын:</w:t>
      </w:r>
    </w:p>
    <w:bookmarkEnd w:id="7"/>
    <w:p>
      <w:pPr>
        <w:spacing w:after="0"/>
        <w:ind w:left="0"/>
        <w:jc w:val="both"/>
      </w:pPr>
      <w:r>
        <w:rPr>
          <w:rFonts w:ascii="Times New Roman"/>
          <w:b w:val="false"/>
          <w:i w:val="false"/>
          <w:color w:val="000000"/>
          <w:sz w:val="28"/>
        </w:rPr>
        <w:t xml:space="preserve">
      "22-1. КЖ/ТҚҚ туралы заңның 5-бабы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3-1-тармақтарының</w:t>
      </w:r>
      <w:r>
        <w:rPr>
          <w:rFonts w:ascii="Times New Roman"/>
          <w:b w:val="false"/>
          <w:i w:val="false"/>
          <w:color w:val="000000"/>
          <w:sz w:val="28"/>
        </w:rPr>
        <w:t xml:space="preserve"> және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қор:</w:t>
      </w:r>
    </w:p>
    <w:p>
      <w:pPr>
        <w:spacing w:after="0"/>
        <w:ind w:left="0"/>
        <w:jc w:val="both"/>
      </w:pPr>
      <w:r>
        <w:rPr>
          <w:rFonts w:ascii="Times New Roman"/>
          <w:b w:val="false"/>
          <w:i w:val="false"/>
          <w:color w:val="000000"/>
          <w:sz w:val="28"/>
        </w:rPr>
        <w:t>
      1) клиент шекті операция (мәміле) жасаған;</w:t>
      </w:r>
    </w:p>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p>
      <w:pPr>
        <w:spacing w:after="0"/>
        <w:ind w:left="0"/>
        <w:jc w:val="both"/>
      </w:pPr>
      <w:r>
        <w:rPr>
          <w:rFonts w:ascii="Times New Roman"/>
          <w:b w:val="false"/>
          <w:i w:val="false"/>
          <w:color w:val="000000"/>
          <w:sz w:val="28"/>
        </w:rPr>
        <w:t>
      3) клиент КЖ/ТҚ типологияларына, схемалары мен тәсілдеріне сәйкес келетін сипаттамалары бар операция (мәміле) жасаған;</w:t>
      </w:r>
    </w:p>
    <w:p>
      <w:pPr>
        <w:spacing w:after="0"/>
        <w:ind w:left="0"/>
        <w:jc w:val="both"/>
      </w:pPr>
      <w:r>
        <w:rPr>
          <w:rFonts w:ascii="Times New Roman"/>
          <w:b w:val="false"/>
          <w:i w:val="false"/>
          <w:color w:val="000000"/>
          <w:sz w:val="28"/>
        </w:rPr>
        <w:t xml:space="preserve">
      4) клиент ерекше операция (мәміле) жасаған; </w:t>
      </w:r>
    </w:p>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анықтығына тексеру жүргізеді.</w:t>
      </w:r>
    </w:p>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Талаптардың 22-1 және </w:t>
      </w:r>
      <w:r>
        <w:rPr>
          <w:rFonts w:ascii="Times New Roman"/>
          <w:b w:val="false"/>
          <w:i w:val="false"/>
          <w:color w:val="000000"/>
          <w:sz w:val="28"/>
        </w:rPr>
        <w:t>23-тармақтарына</w:t>
      </w:r>
      <w:r>
        <w:rPr>
          <w:rFonts w:ascii="Times New Roman"/>
          <w:b w:val="false"/>
          <w:i w:val="false"/>
          <w:color w:val="000000"/>
          <w:sz w:val="28"/>
        </w:rPr>
        <w:t xml:space="preserve"> сәйкес алынған мәліметтерді қор клиенттің досьесіне енгізеді, ол қорда клиентпен іскерлік қатынастардың барлық кезеңі ішінде және олар тоқтатылған күннен бастап кемінде бес жыл сақталады.</w:t>
      </w:r>
    </w:p>
    <w:p>
      <w:pPr>
        <w:spacing w:after="0"/>
        <w:ind w:left="0"/>
        <w:jc w:val="both"/>
      </w:pPr>
      <w:r>
        <w:rPr>
          <w:rFonts w:ascii="Times New Roman"/>
          <w:b w:val="false"/>
          <w:i w:val="false"/>
          <w:color w:val="000000"/>
          <w:sz w:val="28"/>
        </w:rPr>
        <w:t>
      Қор ішкі құжаттарға сәйкес досье жүргізетін клиенттердің топтары мыналарды қамтиды, бірақ олармен шектелмейді: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xml:space="preserve">
      Қор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қор клиенттің досьесіне енгізу (қосу) үшін клиенттерін тиісінше тексеру шараларына қор сүйенетін басқа қаржы мониторингі субъектілерінен клиент туралы мәліметтерді дереу алады, сондай-ақ сұрату бойынша оларға, оның ішінде ақпарат, ақпараттық жүйелерден немесе қаржы мониторингінің басқа субъектілерінің дерекқорынан үзінді көшірмелер жататын растайтын құжаттардың көшірмелерін кідіріссіз алады.</w:t>
      </w:r>
    </w:p>
    <w:bookmarkStart w:name="z16" w:id="8"/>
    <w:p>
      <w:pPr>
        <w:spacing w:after="0"/>
        <w:ind w:left="0"/>
        <w:jc w:val="both"/>
      </w:pPr>
      <w:r>
        <w:rPr>
          <w:rFonts w:ascii="Times New Roman"/>
          <w:b w:val="false"/>
          <w:i w:val="false"/>
          <w:color w:val="000000"/>
          <w:sz w:val="28"/>
        </w:rPr>
        <w:t xml:space="preserve">
      25. Клиентті (оның өкілін) және бенефициарлық меншік иесін сәйкестендіру процесінде қор мұндай клиенттің (оның өкілінің) және бенефициарлық меншік иесінің Тізбеде және ЖҚҚТҚ тізбесінде болуына тексеру жүргізеді. </w:t>
      </w:r>
    </w:p>
    <w:bookmarkEnd w:id="8"/>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p>
      <w:pPr>
        <w:spacing w:after="0"/>
        <w:ind w:left="0"/>
        <w:jc w:val="both"/>
      </w:pPr>
      <w:r>
        <w:rPr>
          <w:rFonts w:ascii="Times New Roman"/>
          <w:b w:val="false"/>
          <w:i w:val="false"/>
          <w:color w:val="000000"/>
          <w:sz w:val="28"/>
        </w:rPr>
        <w:t>
      Қор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p>
      <w:pPr>
        <w:spacing w:after="0"/>
        <w:ind w:left="0"/>
        <w:jc w:val="both"/>
      </w:pPr>
      <w:r>
        <w:rPr>
          <w:rFonts w:ascii="Times New Roman"/>
          <w:b w:val="false"/>
          <w:i w:val="false"/>
          <w:color w:val="000000"/>
          <w:sz w:val="28"/>
        </w:rPr>
        <w:t>
      Қор шетелдік жария лауазымды адамға (бұдан әрі – ШЖЛА), оның жұбайына (зайыбына) және жақын туыстарына қатысты:</w:t>
      </w:r>
    </w:p>
    <w:p>
      <w:pPr>
        <w:spacing w:after="0"/>
        <w:ind w:left="0"/>
        <w:jc w:val="both"/>
      </w:pPr>
      <w:r>
        <w:rPr>
          <w:rFonts w:ascii="Times New Roman"/>
          <w:b w:val="false"/>
          <w:i w:val="false"/>
          <w:color w:val="000000"/>
          <w:sz w:val="28"/>
        </w:rPr>
        <w:t>
      1) ШЖЛА-ның беделін оның КЖ/ТҚ жағдайларына қатыстылығына қарай бағалауды жүзеге асырады;</w:t>
      </w:r>
    </w:p>
    <w:p>
      <w:pPr>
        <w:spacing w:after="0"/>
        <w:ind w:left="0"/>
        <w:jc w:val="both"/>
      </w:pPr>
      <w:r>
        <w:rPr>
          <w:rFonts w:ascii="Times New Roman"/>
          <w:b w:val="false"/>
          <w:i w:val="false"/>
          <w:color w:val="000000"/>
          <w:sz w:val="28"/>
        </w:rPr>
        <w:t>
      2) қордың басшы қызметкерінің мұндай клиенттермен (олардың өкілдерімен) және бенефициарлық меншік иелерімен іскерлік қатынастар орнатуға, оны жалғастыруға рұқсатын алады;</w:t>
      </w:r>
    </w:p>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күшейтілген шаралар қабылдайды.</w:t>
      </w:r>
    </w:p>
    <w:p>
      <w:pPr>
        <w:spacing w:after="0"/>
        <w:ind w:left="0"/>
        <w:jc w:val="both"/>
      </w:pPr>
      <w:r>
        <w:rPr>
          <w:rFonts w:ascii="Times New Roman"/>
          <w:b w:val="false"/>
          <w:i w:val="false"/>
          <w:color w:val="000000"/>
          <w:sz w:val="28"/>
        </w:rPr>
        <w:t>
      Тәуекелдің жоғары деңгейі берілген ШЖЛА-ға, оның жұбайына (зайыбына) және жақын туыстарына қатысты қор қосымша осы тармақтың төртінші бөлігінің 1), 2), 3) және 4) тармақшаларында белгіленген шараларды қолданады.</w:t>
      </w:r>
    </w:p>
    <w:p>
      <w:pPr>
        <w:spacing w:after="0"/>
        <w:ind w:left="0"/>
        <w:jc w:val="both"/>
      </w:pPr>
      <w:r>
        <w:rPr>
          <w:rFonts w:ascii="Times New Roman"/>
          <w:b w:val="false"/>
          <w:i w:val="false"/>
          <w:color w:val="000000"/>
          <w:sz w:val="28"/>
        </w:rPr>
        <w:t>
      Көші-қон карточкалары туралы мәліметтерді Еуразиялық экономикалық одаққа кіретін мемлекеттердің азаматтарына қатысты алу талап етілмейді.</w:t>
      </w:r>
    </w:p>
    <w:p>
      <w:pPr>
        <w:spacing w:after="0"/>
        <w:ind w:left="0"/>
        <w:jc w:val="both"/>
      </w:pPr>
      <w:r>
        <w:rPr>
          <w:rFonts w:ascii="Times New Roman"/>
          <w:b w:val="false"/>
          <w:i w:val="false"/>
          <w:color w:val="000000"/>
          <w:sz w:val="28"/>
        </w:rPr>
        <w:t xml:space="preserve">
      Қор жеке тұлғаны (заңды тұлғаның басшысын, бенефициарлық меншік иесін) сәйкестендіру кезінде мынадай деректерді белгілейді және тіркейді: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азаматтығы; </w:t>
      </w:r>
    </w:p>
    <w:p>
      <w:pPr>
        <w:spacing w:after="0"/>
        <w:ind w:left="0"/>
        <w:jc w:val="both"/>
      </w:pPr>
      <w:r>
        <w:rPr>
          <w:rFonts w:ascii="Times New Roman"/>
          <w:b w:val="false"/>
          <w:i w:val="false"/>
          <w:color w:val="000000"/>
          <w:sz w:val="28"/>
        </w:rPr>
        <w:t xml:space="preserve">
      туған күні және жері;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басты куәландыратын құжаттың және (немесе) оның негізінде сәйкестендіру жүргізілетін өзге де құжаттың деректемелері;</w:t>
      </w:r>
    </w:p>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p>
      <w:pPr>
        <w:spacing w:after="0"/>
        <w:ind w:left="0"/>
        <w:jc w:val="both"/>
      </w:pPr>
      <w:r>
        <w:rPr>
          <w:rFonts w:ascii="Times New Roman"/>
          <w:b w:val="false"/>
          <w:i w:val="false"/>
          <w:color w:val="000000"/>
          <w:sz w:val="28"/>
        </w:rPr>
        <w:t xml:space="preserve">
      қызмет түрі (дара кәсіпкерлер үшін). </w:t>
      </w:r>
    </w:p>
    <w:p>
      <w:pPr>
        <w:spacing w:after="0"/>
        <w:ind w:left="0"/>
        <w:jc w:val="both"/>
      </w:pPr>
      <w:r>
        <w:rPr>
          <w:rFonts w:ascii="Times New Roman"/>
          <w:b w:val="false"/>
          <w:i w:val="false"/>
          <w:color w:val="000000"/>
          <w:sz w:val="28"/>
        </w:rPr>
        <w:t>
      Қор заңды тұлға-клиентті сәйкестендіру кезінде мынадай деректерді белгілейді және тіркейді: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заңды тұлғаның тіркеу нөмірі және мемлекеттік тіркелген күні, тіркеуші органның атауы (олар бар болса); </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xml:space="preserve">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бейрезидент-заңды тұлға шет мемлекетте тіркелген нөмір; </w:t>
      </w:r>
    </w:p>
    <w:p>
      <w:pPr>
        <w:spacing w:after="0"/>
        <w:ind w:left="0"/>
        <w:jc w:val="both"/>
      </w:pPr>
      <w:r>
        <w:rPr>
          <w:rFonts w:ascii="Times New Roman"/>
          <w:b w:val="false"/>
          <w:i w:val="false"/>
          <w:color w:val="000000"/>
          <w:sz w:val="28"/>
        </w:rPr>
        <w:t xml:space="preserve">
      басшы (заңды тұлға-клиенттің атынан әрекет етуге уәкілетті өзге тұлға), қаржылық құжаттарға қол қою құқығы бар тұлға туралы деректер;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бенефициарлық меншік иелері туралы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"27. Клиентті, оның өкілін және бенефициарлық меншік иесін сәйкестендіру бағдарламасына мыналар кіреді, бірақ олармен шектелмейді: </w:t>
      </w:r>
    </w:p>
    <w:p>
      <w:pPr>
        <w:spacing w:after="0"/>
        <w:ind w:left="0"/>
        <w:jc w:val="both"/>
      </w:pPr>
      <w:r>
        <w:rPr>
          <w:rFonts w:ascii="Times New Roman"/>
          <w:b w:val="false"/>
          <w:i w:val="false"/>
          <w:color w:val="000000"/>
          <w:sz w:val="28"/>
        </w:rPr>
        <w:t>
      1) қордың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клиенттерді тиісінше тексерудің күшейтілген шаралары;</w:t>
      </w:r>
    </w:p>
    <w:p>
      <w:pPr>
        <w:spacing w:after="0"/>
        <w:ind w:left="0"/>
        <w:jc w:val="both"/>
      </w:pPr>
      <w:r>
        <w:rPr>
          <w:rFonts w:ascii="Times New Roman"/>
          <w:b w:val="false"/>
          <w:i w:val="false"/>
          <w:color w:val="000000"/>
          <w:sz w:val="28"/>
        </w:rPr>
        <w:t>
      3) қор клиенттер (олардың өкілдері) арасынан қызмет көрсетілетін немесе қызмет көрсетуге қабылданатын шетелдік жария лауазымды тұлғаларды, олардың жұбайларын және жақын туыстарын анықтауға бағытталған шаралардың сипаттамасы;</w:t>
      </w:r>
    </w:p>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және ЖҚҚТҚ тізбесінде болуын тексеру тәртібі;</w:t>
      </w:r>
    </w:p>
    <w:p>
      <w:pPr>
        <w:spacing w:after="0"/>
        <w:ind w:left="0"/>
        <w:jc w:val="both"/>
      </w:pPr>
      <w:r>
        <w:rPr>
          <w:rFonts w:ascii="Times New Roman"/>
          <w:b w:val="false"/>
          <w:i w:val="false"/>
          <w:color w:val="000000"/>
          <w:sz w:val="28"/>
        </w:rPr>
        <w:t>
      5) іскерлік қатынастарды қашықтан орнату кезінде (клиенттің немесе оның өкілінің жеке қатысуынсыз) сәйкестендіру ерекшеліктері;</w:t>
      </w:r>
    </w:p>
    <w:p>
      <w:pPr>
        <w:spacing w:after="0"/>
        <w:ind w:left="0"/>
        <w:jc w:val="both"/>
      </w:pPr>
      <w:r>
        <w:rPr>
          <w:rFonts w:ascii="Times New Roman"/>
          <w:b w:val="false"/>
          <w:i w:val="false"/>
          <w:color w:val="000000"/>
          <w:sz w:val="28"/>
        </w:rPr>
        <w:t>
      6) клиентті (оның өкілін) және бенефициарлық меншік иесін КЖ/ТҚҚ бойынша (бар болса) талаптарды орындау аясында сәйкестендіру процесінде алынған мәліметтермен алмасу ерекшеліктері;</w:t>
      </w:r>
    </w:p>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p>
      <w:pPr>
        <w:spacing w:after="0"/>
        <w:ind w:left="0"/>
        <w:jc w:val="both"/>
      </w:pPr>
      <w:r>
        <w:rPr>
          <w:rFonts w:ascii="Times New Roman"/>
          <w:b w:val="false"/>
          <w:i w:val="false"/>
          <w:color w:val="000000"/>
          <w:sz w:val="28"/>
        </w:rPr>
        <w:t xml:space="preserve">
      11) КЖ/ТҚҚ туралы заңның 5-бабы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мен тәртіп бойынша клиенттердің бенефициарлық меншік иелері туралы мәліметтерді қордың сұратуы бойынша алу және ұсыну тәртібі.</w:t>
      </w:r>
    </w:p>
    <w:p>
      <w:pPr>
        <w:spacing w:after="0"/>
        <w:ind w:left="0"/>
        <w:jc w:val="both"/>
      </w:pPr>
      <w:r>
        <w:rPr>
          <w:rFonts w:ascii="Times New Roman"/>
          <w:b w:val="false"/>
          <w:i w:val="false"/>
          <w:color w:val="000000"/>
          <w:sz w:val="28"/>
        </w:rPr>
        <w:t xml:space="preserve">
      Егер қор КЖ/ТҚҚ туралы заңға сәйкес шарт негізінде өзге тұлғаға клиенттерге (олардың өкілдеріне) және бенефициарлық меншік иелеріне қатысты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қолдануды тапсырса, қор мұндай тұлғалармен өзара іс-қимыл қағидаларын әзірлейді, олар мыналарды:</w:t>
      </w:r>
    </w:p>
    <w:p>
      <w:pPr>
        <w:spacing w:after="0"/>
        <w:ind w:left="0"/>
        <w:jc w:val="both"/>
      </w:pPr>
      <w:r>
        <w:rPr>
          <w:rFonts w:ascii="Times New Roman"/>
          <w:b w:val="false"/>
          <w:i w:val="false"/>
          <w:color w:val="000000"/>
          <w:sz w:val="28"/>
        </w:rPr>
        <w:t xml:space="preserve">
      қордың сәйкестендіру жүргізу тапсырылған адамдармен шарттар жасасу рәсімін, сондай-ақ осындай шарттар жасасуға уәкілеттік берілген қордың лауазымды адамдарының тізбесін; </w:t>
      </w:r>
    </w:p>
    <w:p>
      <w:pPr>
        <w:spacing w:after="0"/>
        <w:ind w:left="0"/>
        <w:jc w:val="both"/>
      </w:pPr>
      <w:r>
        <w:rPr>
          <w:rFonts w:ascii="Times New Roman"/>
          <w:b w:val="false"/>
          <w:i w:val="false"/>
          <w:color w:val="000000"/>
          <w:sz w:val="28"/>
        </w:rPr>
        <w:t>
       сәйкестендіруді жүргізу тапсырылған қор мен тұлғалар арасында жасалған шарттарға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жүргізу тапсырылған адамдардың клиентті (оның өкілін) және бенефициарлық меншік иесін сәйкестендіруді жүргізу кезінде алынған мәліметтерді қорға ұсыну рәсімі мен мерзімдерін;</w:t>
      </w:r>
    </w:p>
    <w:p>
      <w:pPr>
        <w:spacing w:after="0"/>
        <w:ind w:left="0"/>
        <w:jc w:val="both"/>
      </w:pPr>
      <w:r>
        <w:rPr>
          <w:rFonts w:ascii="Times New Roman"/>
          <w:b w:val="false"/>
          <w:i w:val="false"/>
          <w:color w:val="000000"/>
          <w:sz w:val="28"/>
        </w:rPr>
        <w:t>
       қорға алынған мәліметтерді беру рәсімін, мерзімдері мен толықтығын, сондай-ақ анықталған бұзушылықтарды жою бойынша қор қабылдайтын шараларды қоса алғанда, қордың сәйкестендіруді жүргізу тапсырылған тұлғалардың клиентті (оның өкілін) және бенефициарлық меншік иесін сәйкестендіру жөніндегі талаптарды сақтауын бақылауды жүзеге асыру рәсімін;</w:t>
      </w:r>
    </w:p>
    <w:p>
      <w:pPr>
        <w:spacing w:after="0"/>
        <w:ind w:left="0"/>
        <w:jc w:val="both"/>
      </w:pPr>
      <w:r>
        <w:rPr>
          <w:rFonts w:ascii="Times New Roman"/>
          <w:b w:val="false"/>
          <w:i w:val="false"/>
          <w:color w:val="000000"/>
          <w:sz w:val="28"/>
        </w:rPr>
        <w:t>
       қордың сәйкестендіру жөніндегі талаптарды, оның ішінде рәсімдерді, алынған мәліметтерді қорға берудің мерзімдері мен толықтығын сақтамаған жағдайда, сәйкестендіру жүргізу тапсырылған адамдармен шартты орындаудан біржақты бас тарту туралы шешім қабылдау негіздерін, рәсімі және мерзімдерін;</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қордың лауазымды адамдарының тізбесін;</w:t>
      </w:r>
    </w:p>
    <w:p>
      <w:pPr>
        <w:spacing w:after="0"/>
        <w:ind w:left="0"/>
        <w:jc w:val="both"/>
      </w:pPr>
      <w:r>
        <w:rPr>
          <w:rFonts w:ascii="Times New Roman"/>
          <w:b w:val="false"/>
          <w:i w:val="false"/>
          <w:color w:val="000000"/>
          <w:sz w:val="28"/>
        </w:rPr>
        <w:t>
       қорға алынған мәліметтерді беру рәсімін, мерзімдері мен толықтығын қоса алғанда, қорға сәйкестендіру жүргізу тапсырылған тұлғалардың клиентті (оның өкілін) және бенефициарлық меншік иесін сәйкестендіру жөніндегі талаптарды сақтамағаны үшін жауапкершілігі туралы ережелерді;</w:t>
      </w:r>
    </w:p>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жөніндегі талаптарды орындау мақсатында қордың оларға әдіснамалық көмек көрсету мәселелері бойынша сәйкестендіруді жүргізу тапсырылған адамдармен өзара іс-қимыл жасау рәсімін қамтиды.</w:t>
      </w:r>
    </w:p>
    <w:p>
      <w:pPr>
        <w:spacing w:after="0"/>
        <w:ind w:left="0"/>
        <w:jc w:val="both"/>
      </w:pPr>
      <w:r>
        <w:rPr>
          <w:rFonts w:ascii="Times New Roman"/>
          <w:b w:val="false"/>
          <w:i w:val="false"/>
          <w:color w:val="000000"/>
          <w:sz w:val="28"/>
        </w:rPr>
        <w:t>
      Қордың өзара іс-қимыл қағидаларына қосымша талаптар енгізуіне рұқсат етіледі.";</w:t>
      </w:r>
    </w:p>
    <w:bookmarkStart w:name="z18" w:id="9"/>
    <w:p>
      <w:pPr>
        <w:spacing w:after="0"/>
        <w:ind w:left="0"/>
        <w:jc w:val="both"/>
      </w:pPr>
      <w:r>
        <w:rPr>
          <w:rFonts w:ascii="Times New Roman"/>
          <w:b w:val="false"/>
          <w:i w:val="false"/>
          <w:color w:val="000000"/>
          <w:sz w:val="28"/>
        </w:rPr>
        <w:t>
      мынадай мазмұндағы 27-1-тармақпен толықтырылсын:</w:t>
      </w:r>
    </w:p>
    <w:bookmarkEnd w:id="9"/>
    <w:p>
      <w:pPr>
        <w:spacing w:after="0"/>
        <w:ind w:left="0"/>
        <w:jc w:val="both"/>
      </w:pPr>
      <w:r>
        <w:rPr>
          <w:rFonts w:ascii="Times New Roman"/>
          <w:b w:val="false"/>
          <w:i w:val="false"/>
          <w:color w:val="000000"/>
          <w:sz w:val="28"/>
        </w:rPr>
        <w:t>
      "27-1.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мекенжайға баруды қоса алғанда, мәліметтерді басқа да тәсілдермен тексеру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Клиенттің операцияларын зерделеу дәрежесін қор клиенттің (клиенттер тобының) тәуекел деңгейін ескере отырып, сондай-ақ қордың қолда бар КЖ/ТҚ сценарийлерін (схемаларын) және (немесе) күрделі, ерекше, күдікті операциялардың белгілерін ескере отырып айқындайды.</w:t>
      </w:r>
    </w:p>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қор клиент белгілі бір уақыт кезеңінде, бірақ кемінде соңғы айда жүргізетін (жүргізген) операцияларды зерделейді.</w:t>
      </w:r>
    </w:p>
    <w:bookmarkStart w:name="z20" w:id="10"/>
    <w:p>
      <w:pPr>
        <w:spacing w:after="0"/>
        <w:ind w:left="0"/>
        <w:jc w:val="both"/>
      </w:pPr>
      <w:r>
        <w:rPr>
          <w:rFonts w:ascii="Times New Roman"/>
          <w:b w:val="false"/>
          <w:i w:val="false"/>
          <w:color w:val="000000"/>
          <w:sz w:val="28"/>
        </w:rPr>
        <w:t>
      32. Клиенттер операцияларының мониторингі және оны зерделеу бағдарламасы мыналарды қамтиды, бірақ олармен шектелмейді:</w:t>
      </w:r>
    </w:p>
    <w:bookmarkEnd w:id="10"/>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күдікті операцияларды анықтау белгілерінің негізінде жасалған, сондай-ақ қор дербес әзірлеген күдікті операциялар белгілерінің тізбесі;</w:t>
      </w:r>
    </w:p>
    <w:p>
      <w:pPr>
        <w:spacing w:after="0"/>
        <w:ind w:left="0"/>
        <w:jc w:val="both"/>
      </w:pPr>
      <w:r>
        <w:rPr>
          <w:rFonts w:ascii="Times New Roman"/>
          <w:b w:val="false"/>
          <w:i w:val="false"/>
          <w:color w:val="000000"/>
          <w:sz w:val="28"/>
        </w:rPr>
        <w:t xml:space="preserve">
      2) қор бөлімшелерінің (қызметкерлерінің) арасында клиент (оның өкілі) және бенефициарлық меншік иесі туралы бұрын алынған мәліметтерді жаңарту және (немесе) қосымша мәліметтер алу бойынша міндеттерді Талаптарда көзделген жағдайларда бөлу; </w:t>
      </w:r>
    </w:p>
    <w:p>
      <w:pPr>
        <w:spacing w:after="0"/>
        <w:ind w:left="0"/>
        <w:jc w:val="both"/>
      </w:pPr>
      <w:r>
        <w:rPr>
          <w:rFonts w:ascii="Times New Roman"/>
          <w:b w:val="false"/>
          <w:i w:val="false"/>
          <w:color w:val="000000"/>
          <w:sz w:val="28"/>
        </w:rPr>
        <w:t>
      3) қор бөлімшелерінің (қызметкерлерінің) арасында шекті, күрделі, әдеттегіден тыс, күдікті операцияларды анықтау бойынша міндеттерді бөлу және бөлімшелер (қызметкерлер) арасында беру;</w:t>
      </w:r>
    </w:p>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p>
      <w:pPr>
        <w:spacing w:after="0"/>
        <w:ind w:left="0"/>
        <w:jc w:val="both"/>
      </w:pPr>
      <w:r>
        <w:rPr>
          <w:rFonts w:ascii="Times New Roman"/>
          <w:b w:val="false"/>
          <w:i w:val="false"/>
          <w:color w:val="000000"/>
          <w:sz w:val="28"/>
        </w:rPr>
        <w:t>
      5) күрделі, әдеттегіден тыс операцияларды зерделеу нәтижелері туралы мәліметтерді, сондай-ақ шекті және күдікті операциялар (оның ішінде, операцияның сомасы) туралы мәліметтерді тіркеу (оның ішінде тіркеу тәсілдері) тәртібі;</w:t>
      </w:r>
    </w:p>
    <w:p>
      <w:pPr>
        <w:spacing w:after="0"/>
        <w:ind w:left="0"/>
        <w:jc w:val="both"/>
      </w:pPr>
      <w:r>
        <w:rPr>
          <w:rFonts w:ascii="Times New Roman"/>
          <w:b w:val="false"/>
          <w:i w:val="false"/>
          <w:color w:val="000000"/>
          <w:sz w:val="28"/>
        </w:rPr>
        <w:t>
      6) клиент жүйелі түрде және (немесе) айтарлықтай көлемде әдеттегіден тыс және (немесе) күдікті операцияларды жүзеге асырған жағдайда клиентке және оның операцияларына қатысты шаралар қабылдау тәртібі және қабылданатын шаралардың сипаты;</w:t>
      </w:r>
    </w:p>
    <w:p>
      <w:pPr>
        <w:spacing w:after="0"/>
        <w:ind w:left="0"/>
        <w:jc w:val="both"/>
      </w:pPr>
      <w:r>
        <w:rPr>
          <w:rFonts w:ascii="Times New Roman"/>
          <w:b w:val="false"/>
          <w:i w:val="false"/>
          <w:color w:val="000000"/>
          <w:sz w:val="28"/>
        </w:rPr>
        <w:t>
      7) уәкілетті органға шекті және күдікті операциялар туралы хабарлар беру тәртібі;</w:t>
      </w:r>
    </w:p>
    <w:p>
      <w:pPr>
        <w:spacing w:after="0"/>
        <w:ind w:left="0"/>
        <w:jc w:val="both"/>
      </w:pPr>
      <w:r>
        <w:rPr>
          <w:rFonts w:ascii="Times New Roman"/>
          <w:b w:val="false"/>
          <w:i w:val="false"/>
          <w:color w:val="000000"/>
          <w:sz w:val="28"/>
        </w:rPr>
        <w:t>
      8) шекті және күдікті операцияның анықталғаны туралы қордың басқару органын, атқарушы органын және қордың лауазымды адамдарын хабардар ету (қажет болған кезде) тәртібі.".</w:t>
      </w:r>
    </w:p>
    <w:bookmarkStart w:name="z21" w:id="11"/>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тармақың 2) тармақшасында көзделген іс-шараның орындалуы туралы мәліметтерді ұсынуды қамтамасыз етсін.</w:t>
      </w:r>
    </w:p>
    <w:bookmarkStart w:name="z22" w:id="1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2"/>
    <w:bookmarkStart w:name="z23"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отыз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Қаржылық мониторинг 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