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64f6" w14:textId="5a46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24 ақпандағы № 13 қаулысы. Қазақстан Республикасының Әділет министрлігінде 2022 жылғы 28 ақпанда № 26962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Егер Талаптарда өзгеше көзделмесе, Талаптарда қолданылатын ұғымдар КЖ/ТҚҚ туралы заңда және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пайдаланылады.</w:t>
      </w:r>
    </w:p>
    <w:p>
      <w:pPr>
        <w:spacing w:after="0"/>
        <w:ind w:left="0"/>
        <w:jc w:val="both"/>
      </w:pPr>
      <w:r>
        <w:rPr>
          <w:rFonts w:ascii="Times New Roman"/>
          <w:b w:val="false"/>
          <w:i w:val="false"/>
          <w:color w:val="000000"/>
          <w:sz w:val="28"/>
        </w:rPr>
        <w:t>
      Талаптардың мақсаттары үшін мынадай ұғымдар пайдаланылады:</w:t>
      </w:r>
    </w:p>
    <w:p>
      <w:pPr>
        <w:spacing w:after="0"/>
        <w:ind w:left="0"/>
        <w:jc w:val="both"/>
      </w:pPr>
      <w:r>
        <w:rPr>
          <w:rFonts w:ascii="Times New Roman"/>
          <w:b w:val="false"/>
          <w:i w:val="false"/>
          <w:color w:val="000000"/>
          <w:sz w:val="28"/>
        </w:rPr>
        <w:t xml:space="preserve">
      әдеттегіден тыс операция (мәміле) – клиенттің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банк дербес әзірлеген күдікті операцияны айқындау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p>
      <w:pPr>
        <w:spacing w:after="0"/>
        <w:ind w:left="0"/>
        <w:jc w:val="both"/>
      </w:pPr>
      <w:r>
        <w:rPr>
          <w:rFonts w:ascii="Times New Roman"/>
          <w:b w:val="false"/>
          <w:i w:val="false"/>
          <w:color w:val="000000"/>
          <w:sz w:val="28"/>
        </w:rPr>
        <w:t>
      біржолғы операция (мәміле) – банктің жеке тұлғаның банктік шотына ақшаны есептеу не қолма-қол ақшаны қабылдауға,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айырбастау пунктінде қолма-қол шетел валютасын сатып алу, сату немесе айырбастау, осындай клиенттің банктік шотына қол жеткізу құралы болып табылмайтын төлем карточкасын пайдалану, мемлекеттік органдардың пайдасына атқарушылық іс жүргізу шеңберінде берешекті жабдық (құрылғы) арқылы төлеу, айырбастау пункттері арқылы тазартылған құйма алтынды сатып алу бойынша қызметтер көрсетуі, сондай-ақ банктің сәйкестендірілмеген электрондық ақша иелеріне электрондық ақшаны сатып алу және пайдалану жөніндегі операцияларды жүргізу арқылы қызметтер көрсетуі;</w:t>
      </w:r>
    </w:p>
    <w:p>
      <w:pPr>
        <w:spacing w:after="0"/>
        <w:ind w:left="0"/>
        <w:jc w:val="both"/>
      </w:pPr>
      <w:r>
        <w:rPr>
          <w:rFonts w:ascii="Times New Roman"/>
          <w:b w:val="false"/>
          <w:i w:val="false"/>
          <w:color w:val="000000"/>
          <w:sz w:val="28"/>
        </w:rPr>
        <w:t>
      жария лауазымды адам – ұлттық және шетелдік жария лауазымды адам;</w:t>
      </w:r>
    </w:p>
    <w:p>
      <w:pPr>
        <w:spacing w:after="0"/>
        <w:ind w:left="0"/>
        <w:jc w:val="both"/>
      </w:pPr>
      <w:r>
        <w:rPr>
          <w:rFonts w:ascii="Times New Roman"/>
          <w:b w:val="false"/>
          <w:i w:val="false"/>
          <w:color w:val="000000"/>
          <w:sz w:val="28"/>
        </w:rPr>
        <w:t>
      заңды тұлға құрмай шетелдік құрылым – шет мемлекеттің (аумақтың) заңнамасына сәйкес құрылған немесе заңды тұлға құрмай шетелдік құқық қолданыла отырып, өз қатысушыларының не пайда алушылардың мүдделері үшін пайда (кіріс) алуға бағытталған қызметті жүзеге асыруға құқылы құрылым;</w:t>
      </w:r>
    </w:p>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тәуекелдері (бұдан әрі – КЖ/ТҚ тәуекелдері) – банкті қылмыстық жолмен алынған кірістерді заңдастыру (жылыстату) және терроризмді қаржыландыру (бұдан әрі – КЖ/ТҚ) процестеріне қасақана немесе қасақана емес тарту тәуекелдері;</w:t>
      </w:r>
    </w:p>
    <w:p>
      <w:pPr>
        <w:spacing w:after="0"/>
        <w:ind w:left="0"/>
        <w:jc w:val="both"/>
      </w:pPr>
      <w:r>
        <w:rPr>
          <w:rFonts w:ascii="Times New Roman"/>
          <w:b w:val="false"/>
          <w:i w:val="false"/>
          <w:color w:val="000000"/>
          <w:sz w:val="28"/>
        </w:rPr>
        <w:t>
      КЖ/ТҚ тәуекелдерін басқару – банк КЖ/ТҚ тәуекелдерін анықтау, бағалау, мониторингтеу, сондай-ақ оларды азайту бойынша қабылдайтын шаралар жиынтығы (көрсетілетін қызметтерге (өнімдерге),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клиент – банктің қызметін алатын жеке тұлға және (немесе) заңды тұлға және (немесе) заңды тұлға құрмаған шетелдік құрылым;</w:t>
      </w:r>
    </w:p>
    <w:p>
      <w:pPr>
        <w:spacing w:after="0"/>
        <w:ind w:left="0"/>
        <w:jc w:val="both"/>
      </w:pPr>
      <w:r>
        <w:rPr>
          <w:rFonts w:ascii="Times New Roman"/>
          <w:b w:val="false"/>
          <w:i w:val="false"/>
          <w:color w:val="000000"/>
          <w:sz w:val="28"/>
        </w:rPr>
        <w:t xml:space="preserve">
      ұлттық жария лауазымды тұлға (бұдан әрі – ҰЖЛТ): </w:t>
      </w:r>
    </w:p>
    <w:p>
      <w:pPr>
        <w:spacing w:after="0"/>
        <w:ind w:left="0"/>
        <w:jc w:val="both"/>
      </w:pPr>
      <w:r>
        <w:rPr>
          <w:rFonts w:ascii="Times New Roman"/>
          <w:b w:val="false"/>
          <w:i w:val="false"/>
          <w:color w:val="000000"/>
          <w:sz w:val="28"/>
        </w:rPr>
        <w:t>
      жауапты мемлекеттік лауазымды атқаратын адам;</w:t>
      </w:r>
    </w:p>
    <w:p>
      <w:pPr>
        <w:spacing w:after="0"/>
        <w:ind w:left="0"/>
        <w:jc w:val="both"/>
      </w:pPr>
      <w:r>
        <w:rPr>
          <w:rFonts w:ascii="Times New Roman"/>
          <w:b w:val="false"/>
          <w:i w:val="false"/>
          <w:color w:val="000000"/>
          <w:sz w:val="28"/>
        </w:rPr>
        <w:t>
      лауазымды адам;</w:t>
      </w:r>
    </w:p>
    <w:p>
      <w:pPr>
        <w:spacing w:after="0"/>
        <w:ind w:left="0"/>
        <w:jc w:val="both"/>
      </w:pPr>
      <w:r>
        <w:rPr>
          <w:rFonts w:ascii="Times New Roman"/>
          <w:b w:val="false"/>
          <w:i w:val="false"/>
          <w:color w:val="000000"/>
          <w:sz w:val="28"/>
        </w:rPr>
        <w:t>
      мемлекеттік функцияларды орындауға уәкілетті тұлға;</w:t>
      </w:r>
    </w:p>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p>
      <w:pPr>
        <w:spacing w:after="0"/>
        <w:ind w:left="0"/>
        <w:jc w:val="both"/>
      </w:pPr>
      <w:r>
        <w:rPr>
          <w:rFonts w:ascii="Times New Roman"/>
          <w:b w:val="false"/>
          <w:i w:val="false"/>
          <w:color w:val="000000"/>
          <w:sz w:val="28"/>
        </w:rPr>
        <w:t>
      цифрлық актив – қаржы құралы болып табылмайтын, криптография және компьютерлік есептеулер құралдарын қолдана отырып, электрондық-цифрлық нысанда жасалған мүлік, сондай-ақ мүліктік құқықтарды куәландырудың электрондық-цифрлық нысаны;</w:t>
      </w:r>
    </w:p>
    <w:p>
      <w:pPr>
        <w:spacing w:after="0"/>
        <w:ind w:left="0"/>
        <w:jc w:val="both"/>
      </w:pPr>
      <w:r>
        <w:rPr>
          <w:rFonts w:ascii="Times New Roman"/>
          <w:b w:val="false"/>
          <w:i w:val="false"/>
          <w:color w:val="000000"/>
          <w:sz w:val="28"/>
        </w:rPr>
        <w:t xml:space="preserve">
      шекті операция – клиенттің ақшамен және (немесе) өзге де мүлікпен жүргізілетін, КЖ/ТҚҚ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p>
      <w:pPr>
        <w:spacing w:after="0"/>
        <w:ind w:left="0"/>
        <w:jc w:val="both"/>
      </w:pPr>
      <w:r>
        <w:rPr>
          <w:rFonts w:ascii="Times New Roman"/>
          <w:b w:val="false"/>
          <w:i w:val="false"/>
          <w:color w:val="000000"/>
          <w:sz w:val="28"/>
        </w:rPr>
        <w:t>
      шетелдік жария лауазымды тұлға (бұдан әрі – ШЖЛТ):</w:t>
      </w:r>
    </w:p>
    <w:p>
      <w:pPr>
        <w:spacing w:after="0"/>
        <w:ind w:left="0"/>
        <w:jc w:val="both"/>
      </w:pPr>
      <w:r>
        <w:rPr>
          <w:rFonts w:ascii="Times New Roman"/>
          <w:b w:val="false"/>
          <w:i w:val="false"/>
          <w:color w:val="000000"/>
          <w:sz w:val="28"/>
        </w:rPr>
        <w:t>
      шет мемлекеттің заң шығарушы, атқарушы, әкімшілік, сот органдарында немесе қарулы күштерінде қандай да бір лауазымды атқаратын тағайындалатын немесе сайланатын адам;</w:t>
      </w:r>
    </w:p>
    <w:p>
      <w:pPr>
        <w:spacing w:after="0"/>
        <w:ind w:left="0"/>
        <w:jc w:val="both"/>
      </w:pPr>
      <w:r>
        <w:rPr>
          <w:rFonts w:ascii="Times New Roman"/>
          <w:b w:val="false"/>
          <w:i w:val="false"/>
          <w:color w:val="000000"/>
          <w:sz w:val="28"/>
        </w:rPr>
        <w:t>
      шет мемлекет үшін қандай да бір жария функцияны орындайтын адам;</w:t>
      </w:r>
    </w:p>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 атқаратын адам;</w:t>
      </w:r>
    </w:p>
    <w:p>
      <w:pPr>
        <w:spacing w:after="0"/>
        <w:ind w:left="0"/>
        <w:jc w:val="both"/>
      </w:pPr>
      <w:r>
        <w:rPr>
          <w:rFonts w:ascii="Times New Roman"/>
          <w:b w:val="false"/>
          <w:i w:val="false"/>
          <w:color w:val="000000"/>
          <w:sz w:val="28"/>
        </w:rPr>
        <w:t>
      іскерлік қатынастар – банктің клиентке қаржылық қызметке және қаржылық көрсетілетін қызметке қатысты қызметтерді (өнімдерді) ұсынуы жөніндегі қатынастар.</w:t>
      </w:r>
    </w:p>
    <w:bookmarkStart w:name="z4" w:id="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 – КЖ/ТҚ) қарсы іс-қимыл мақсатында банк ішкі бақылауды:</w:t>
      </w:r>
    </w:p>
    <w:bookmarkEnd w:id="0"/>
    <w:p>
      <w:pPr>
        <w:spacing w:after="0"/>
        <w:ind w:left="0"/>
        <w:jc w:val="both"/>
      </w:pPr>
      <w:r>
        <w:rPr>
          <w:rFonts w:ascii="Times New Roman"/>
          <w:b w:val="false"/>
          <w:i w:val="false"/>
          <w:color w:val="000000"/>
          <w:sz w:val="28"/>
        </w:rPr>
        <w:t>
      1) банктің КЖ/ТҚҚ туралы заңның талаптарын орындауын қамтамасыз ету;</w:t>
      </w:r>
    </w:p>
    <w:p>
      <w:pPr>
        <w:spacing w:after="0"/>
        <w:ind w:left="0"/>
        <w:jc w:val="both"/>
      </w:pPr>
      <w:r>
        <w:rPr>
          <w:rFonts w:ascii="Times New Roman"/>
          <w:b w:val="false"/>
          <w:i w:val="false"/>
          <w:color w:val="000000"/>
          <w:sz w:val="28"/>
        </w:rPr>
        <w:t>
      2) ұйымның ішкі бақылау жүйесінің тиімділігін КЖ/ТҚ тәуекелдерін және қатар жүретін тәуекелдерді (операциялық, бедел) басқару үшін жеткілікті деңгейде ұстап тұру;</w:t>
      </w:r>
    </w:p>
    <w:p>
      <w:pPr>
        <w:spacing w:after="0"/>
        <w:ind w:left="0"/>
        <w:jc w:val="both"/>
      </w:pPr>
      <w:r>
        <w:rPr>
          <w:rFonts w:ascii="Times New Roman"/>
          <w:b w:val="false"/>
          <w:i w:val="false"/>
          <w:color w:val="000000"/>
          <w:sz w:val="28"/>
        </w:rPr>
        <w:t>
      3) банкті, оның лауазымды тұлғалары мен қызметкерлерін КЖ/ТҚ процестеріне тартуды болдырмау мақсатында жүзеге асырады.</w:t>
      </w:r>
    </w:p>
    <w:p>
      <w:pPr>
        <w:spacing w:after="0"/>
        <w:ind w:left="0"/>
        <w:jc w:val="both"/>
      </w:pPr>
      <w:r>
        <w:rPr>
          <w:rFonts w:ascii="Times New Roman"/>
          <w:b w:val="false"/>
          <w:i w:val="false"/>
          <w:color w:val="000000"/>
          <w:sz w:val="28"/>
        </w:rPr>
        <w:t xml:space="preserve">
      Осы тармақтың бірінші бөлігінде көзделген ішкі бақылаудан басқа, банк КЖ/ТҚҚ туралы заңның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жаппай қырып-жою қаруын таратудың алдын алуға, оған кедергі келтіруге және тоқтатуға қатысты нысаналы қаржылық санкциялар жөніндегі талаптардың сақталуын қосымша жүзеге асырады.</w:t>
      </w:r>
    </w:p>
    <w:bookmarkStart w:name="z5" w:id="1"/>
    <w:p>
      <w:pPr>
        <w:spacing w:after="0"/>
        <w:ind w:left="0"/>
        <w:jc w:val="both"/>
      </w:pPr>
      <w:r>
        <w:rPr>
          <w:rFonts w:ascii="Times New Roman"/>
          <w:b w:val="false"/>
          <w:i w:val="false"/>
          <w:color w:val="000000"/>
          <w:sz w:val="28"/>
        </w:rPr>
        <w:t>
      4. Банкте КЖ/ТҚҚ мақсатында ішкі бақылауды ұйымдастыру шеңберінде банктің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1"/>
    <w:p>
      <w:pPr>
        <w:spacing w:after="0"/>
        <w:ind w:left="0"/>
        <w:jc w:val="both"/>
      </w:pPr>
      <w:r>
        <w:rPr>
          <w:rFonts w:ascii="Times New Roman"/>
          <w:b w:val="false"/>
          <w:i w:val="false"/>
          <w:color w:val="000000"/>
          <w:sz w:val="28"/>
        </w:rPr>
        <w:t xml:space="preserve">
      Ішкі бақылау қағидаларында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 қамтылады, банк оларды Талаптарға сәйкес дербес әзірлейді және банктің ішкі құжаты не банктің басқару органы немесе атқарушы органдары бекіткен осындай құжаттардың жиынтығы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КЖ/ТҚҚ мақсатында ішкі бақылауды ұйымдастыру бағдарламасында мыналарды қамтылады, бірақ олармен шектелмейді:</w:t>
      </w:r>
    </w:p>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p>
      <w:pPr>
        <w:spacing w:after="0"/>
        <w:ind w:left="0"/>
        <w:jc w:val="both"/>
      </w:pPr>
      <w:r>
        <w:rPr>
          <w:rFonts w:ascii="Times New Roman"/>
          <w:b w:val="false"/>
          <w:i w:val="false"/>
          <w:color w:val="000000"/>
          <w:sz w:val="28"/>
        </w:rPr>
        <w:t xml:space="preserve">
      2) банк қызметкерлерінің, оның ішінде банктің басқару органының және атқарушы органының жауапты қызметкерінің өздеріне белгілі болған, банк қызметкерлері жол берген КЖ/ТҚҚ туралы заңды, сондай-ақ ішкі бақылау қағидаларын бұзу фактілері туралы хабардар ету тәртібі; </w:t>
      </w:r>
    </w:p>
    <w:p>
      <w:pPr>
        <w:spacing w:after="0"/>
        <w:ind w:left="0"/>
        <w:jc w:val="both"/>
      </w:pPr>
      <w:r>
        <w:rPr>
          <w:rFonts w:ascii="Times New Roman"/>
          <w:b w:val="false"/>
          <w:i w:val="false"/>
          <w:color w:val="000000"/>
          <w:sz w:val="28"/>
        </w:rPr>
        <w:t>
      3) банк кіретін банк конгломератының КЖ/ТҚҚ бойынша талаптарының сипаттамасы (бар болса);</w:t>
      </w:r>
    </w:p>
    <w:p>
      <w:pPr>
        <w:spacing w:after="0"/>
        <w:ind w:left="0"/>
        <w:jc w:val="both"/>
      </w:pPr>
      <w:r>
        <w:rPr>
          <w:rFonts w:ascii="Times New Roman"/>
          <w:b w:val="false"/>
          <w:i w:val="false"/>
          <w:color w:val="000000"/>
          <w:sz w:val="28"/>
        </w:rPr>
        <w:t xml:space="preserve">
      4) КЖ/ТҚҚ мақсатында банктің ішкі аудит қызметінің бақылау тиімділігін бағалау нәтижелері бойынша басқарушылық есептілікті, соның ішінде банк конгломераты шеңберінде шоғырландырылған негізде басқарушылық есептілікті дайындау және банктің басқару органы мен атқарушы органына ұсыну тәртібі; </w:t>
      </w:r>
    </w:p>
    <w:p>
      <w:pPr>
        <w:spacing w:after="0"/>
        <w:ind w:left="0"/>
        <w:jc w:val="both"/>
      </w:pPr>
      <w:r>
        <w:rPr>
          <w:rFonts w:ascii="Times New Roman"/>
          <w:b w:val="false"/>
          <w:i w:val="false"/>
          <w:color w:val="000000"/>
          <w:sz w:val="28"/>
        </w:rPr>
        <w:t xml:space="preserve">
      5) банктің жауапты қызметкерінің, басқару органының және (немесе) атқарушы органының немесе банктің басшы қызметкерінің клиенттермен іскерлік қатынастарды белгілеу, жалғастыру не тоқтату туралы, КЖ/ТҚҚ туралы заңда және (немесе) клиенттермен жасасқан шарттарда көзделген жағдайларда және банктің ішкі құжаттарында көзделген тәртіппен клиенттердің операцияларын өткізуді тоқтата тұру не бас тарту туралы шешімдер қабылдау тәртібі; </w:t>
      </w:r>
    </w:p>
    <w:p>
      <w:pPr>
        <w:spacing w:after="0"/>
        <w:ind w:left="0"/>
        <w:jc w:val="both"/>
      </w:pPr>
      <w:r>
        <w:rPr>
          <w:rFonts w:ascii="Times New Roman"/>
          <w:b w:val="false"/>
          <w:i w:val="false"/>
          <w:color w:val="000000"/>
          <w:sz w:val="28"/>
        </w:rPr>
        <w:t>
      6) КЖ/ТҚ тәуекелдерін бағалау нәтижелерін бағалау, айқындау, құжаттамалық тіркеу және жаңарту рәсімі;</w:t>
      </w:r>
    </w:p>
    <w:p>
      <w:pPr>
        <w:spacing w:after="0"/>
        <w:ind w:left="0"/>
        <w:jc w:val="both"/>
      </w:pPr>
      <w:r>
        <w:rPr>
          <w:rFonts w:ascii="Times New Roman"/>
          <w:b w:val="false"/>
          <w:i w:val="false"/>
          <w:color w:val="000000"/>
          <w:sz w:val="28"/>
        </w:rPr>
        <w:t>
      7) бөлімшенің КЖ/ТҚҚ бойынша функцияларының, оның ішінде КЖ/ТҚ мақсатында ішкі бақылауды жүзеге асыру кезінде банктің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банктің басқару органымен және атқарушы органымен өзара іс-қимыл жасау рәсімінің сипаттамасы;</w:t>
      </w:r>
    </w:p>
    <w:p>
      <w:pPr>
        <w:spacing w:after="0"/>
        <w:ind w:left="0"/>
        <w:jc w:val="both"/>
      </w:pPr>
      <w:r>
        <w:rPr>
          <w:rFonts w:ascii="Times New Roman"/>
          <w:b w:val="false"/>
          <w:i w:val="false"/>
          <w:color w:val="000000"/>
          <w:sz w:val="28"/>
        </w:rPr>
        <w:t>
      8)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w:t>
      </w:r>
    </w:p>
    <w:bookmarkStart w:name="z7" w:id="2"/>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2"/>
    <w:p>
      <w:pPr>
        <w:spacing w:after="0"/>
        <w:ind w:left="0"/>
        <w:jc w:val="both"/>
      </w:pPr>
      <w:r>
        <w:rPr>
          <w:rFonts w:ascii="Times New Roman"/>
          <w:b w:val="false"/>
          <w:i w:val="false"/>
          <w:color w:val="000000"/>
          <w:sz w:val="28"/>
        </w:rPr>
        <w:t>
      1) банктің басқарушы органы немесе атқарушы органы әзірлеген және келісілген ішкі бақылау қағидаларының және (немесе) оларға өзгерістердің (толықтырулардың) болуын, сондай-ақ олардың банкте сақталуын мониторингтеуді қамтамасыз ету;</w:t>
      </w:r>
    </w:p>
    <w:p>
      <w:pPr>
        <w:spacing w:after="0"/>
        <w:ind w:left="0"/>
        <w:jc w:val="both"/>
      </w:pPr>
      <w:r>
        <w:rPr>
          <w:rFonts w:ascii="Times New Roman"/>
          <w:b w:val="false"/>
          <w:i w:val="false"/>
          <w:color w:val="000000"/>
          <w:sz w:val="28"/>
        </w:rPr>
        <w:t>
      2) КЖ/ТҚҚ туралы заңға сәйкес қаржы мониторингі жөніндегі уәкілетті органға хабарларды ұсынуды ұйымдастыру және ұсынуды бақылау;</w:t>
      </w:r>
    </w:p>
    <w:p>
      <w:pPr>
        <w:spacing w:after="0"/>
        <w:ind w:left="0"/>
        <w:jc w:val="both"/>
      </w:pPr>
      <w:r>
        <w:rPr>
          <w:rFonts w:ascii="Times New Roman"/>
          <w:b w:val="false"/>
          <w:i w:val="false"/>
          <w:color w:val="000000"/>
          <w:sz w:val="28"/>
        </w:rPr>
        <w:t>
      3) клиенттердің операцияларын күдікті ретінде тану және банктің ішкі құжаттарында көзделген тәртіппен қаржы мониторингі жөніндегі уәкілетті органға хабарлар жіберу қажеттігі туралы шешімдер қабылдау;</w:t>
      </w:r>
    </w:p>
    <w:p>
      <w:pPr>
        <w:spacing w:after="0"/>
        <w:ind w:left="0"/>
        <w:jc w:val="both"/>
      </w:pPr>
      <w:r>
        <w:rPr>
          <w:rFonts w:ascii="Times New Roman"/>
          <w:b w:val="false"/>
          <w:i w:val="false"/>
          <w:color w:val="000000"/>
          <w:sz w:val="28"/>
        </w:rPr>
        <w:t>
      4) банктің ішкі құжаттарында көзделген тәртіппен банктің басқару органын және (немесе) банктің атқарушы органын анықталған ішкі бақылау қағидаларын бұзушылықтар туралы хабардар ету;</w:t>
      </w:r>
    </w:p>
    <w:p>
      <w:pPr>
        <w:spacing w:after="0"/>
        <w:ind w:left="0"/>
        <w:jc w:val="both"/>
      </w:pPr>
      <w:r>
        <w:rPr>
          <w:rFonts w:ascii="Times New Roman"/>
          <w:b w:val="false"/>
          <w:i w:val="false"/>
          <w:color w:val="000000"/>
          <w:sz w:val="28"/>
        </w:rPr>
        <w:t>
      5) ішкі бақылау қағидаларының іске асырылу нәтижелері және банктің басқару органына және атқарушы органына анықталған кемшіліктер туралы есептерді қалыптастыру үшін КЖ/ТҚҚ мақсатында, оның ішінде банк конгломераты шеңберінде КЖ/ТҚ тәуекелдерін басқару және ішкі бақылау жүйелерін жақсарту бойынша ұсынылатын шаралар туралы ақпаратты дайындау;</w:t>
      </w:r>
    </w:p>
    <w:p>
      <w:pPr>
        <w:spacing w:after="0"/>
        <w:ind w:left="0"/>
        <w:jc w:val="both"/>
      </w:pPr>
      <w:r>
        <w:rPr>
          <w:rFonts w:ascii="Times New Roman"/>
          <w:b w:val="false"/>
          <w:i w:val="false"/>
          <w:color w:val="000000"/>
          <w:sz w:val="28"/>
        </w:rPr>
        <w:t>
      6) банктің КЖ/ТҚ процестеріне тартылу тәуекелін бағалау және қаржы нарығы мен қаржы ұйымдарын реттеу, бақылау және қадағалау жөніндегі уәкілетті органға (бұдан әрі – уәкілетті орган) жыл сайын, есепті жылдан кейінгі жылдың 5 ақпанынан кешіктірмей сұратылған ақпаратты беру үшін сандық және сапалық көрсеткіштерді жинау бойынша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КЖ/ТҚ тәуекелдерін басқаруды ұйымдастыру мақсатында банк КЖ/ТҚ тәуекелдерін басқару бағдарламасын әзірлейді.</w:t>
      </w:r>
    </w:p>
    <w:p>
      <w:pPr>
        <w:spacing w:after="0"/>
        <w:ind w:left="0"/>
        <w:jc w:val="both"/>
      </w:pPr>
      <w:r>
        <w:rPr>
          <w:rFonts w:ascii="Times New Roman"/>
          <w:b w:val="false"/>
          <w:i w:val="false"/>
          <w:color w:val="000000"/>
          <w:sz w:val="28"/>
        </w:rPr>
        <w:t xml:space="preserve">
      Тәуекелдерді бағалау нәтижелері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түрлеріне мыналар енгізіледі, бірақ олармен шектелмейді:</w:t>
      </w:r>
    </w:p>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p>
      <w:pPr>
        <w:spacing w:after="0"/>
        <w:ind w:left="0"/>
        <w:jc w:val="both"/>
      </w:pPr>
      <w:r>
        <w:rPr>
          <w:rFonts w:ascii="Times New Roman"/>
          <w:b w:val="false"/>
          <w:i w:val="false"/>
          <w:color w:val="000000"/>
          <w:sz w:val="28"/>
        </w:rPr>
        <w:t>
      2) шетелдік қаржы ұйымдары;</w:t>
      </w:r>
    </w:p>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микроқаржылық қызметті жүзеге асыратын ұйымдар;</w:t>
      </w:r>
    </w:p>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p>
      <w:pPr>
        <w:spacing w:after="0"/>
        <w:ind w:left="0"/>
        <w:jc w:val="both"/>
      </w:pPr>
      <w:r>
        <w:rPr>
          <w:rFonts w:ascii="Times New Roman"/>
          <w:b w:val="false"/>
          <w:i w:val="false"/>
          <w:color w:val="000000"/>
          <w:sz w:val="28"/>
        </w:rPr>
        <w:t xml:space="preserve">
      4) адвокаттар және заң мәселелері бойынша басқа да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КЖ/ТҚҚ жөніндегі талаптарды сақтайтын банктердің еншілес ұйымдарын қоспағанда);</w:t>
      </w:r>
    </w:p>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p>
      <w:pPr>
        <w:spacing w:after="0"/>
        <w:ind w:left="0"/>
        <w:jc w:val="both"/>
      </w:pPr>
      <w:r>
        <w:rPr>
          <w:rFonts w:ascii="Times New Roman"/>
          <w:b w:val="false"/>
          <w:i w:val="false"/>
          <w:color w:val="000000"/>
          <w:sz w:val="28"/>
        </w:rPr>
        <w:t>
      12)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p>
      <w:pPr>
        <w:spacing w:after="0"/>
        <w:ind w:left="0"/>
        <w:jc w:val="both"/>
      </w:pPr>
      <w:r>
        <w:rPr>
          <w:rFonts w:ascii="Times New Roman"/>
          <w:b w:val="false"/>
          <w:i w:val="false"/>
          <w:color w:val="000000"/>
          <w:sz w:val="28"/>
        </w:rPr>
        <w:t>
      14) клиент КЖ/ТҚҚ туралы заңда көзделген клиентті тиісінше тексеру рәсімдерінен жалтаруға бағытталған іс-әрекеттер жасағанда;</w:t>
      </w:r>
    </w:p>
    <w:p>
      <w:pPr>
        <w:spacing w:after="0"/>
        <w:ind w:left="0"/>
        <w:jc w:val="both"/>
      </w:pPr>
      <w:r>
        <w:rPr>
          <w:rFonts w:ascii="Times New Roman"/>
          <w:b w:val="false"/>
          <w:i w:val="false"/>
          <w:color w:val="000000"/>
          <w:sz w:val="28"/>
        </w:rPr>
        <w:t>
      15)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bookmarkStart w:name="z10" w:id="3"/>
    <w:p>
      <w:pPr>
        <w:spacing w:after="0"/>
        <w:ind w:left="0"/>
        <w:jc w:val="both"/>
      </w:pPr>
      <w:r>
        <w:rPr>
          <w:rFonts w:ascii="Times New Roman"/>
          <w:b w:val="false"/>
          <w:i w:val="false"/>
          <w:color w:val="000000"/>
          <w:sz w:val="28"/>
        </w:rPr>
        <w:t xml:space="preserve">
      мынадай мазмұндағы 20-1-тармағымен толықтырылсын: </w:t>
      </w:r>
    </w:p>
    <w:bookmarkEnd w:id="3"/>
    <w:p>
      <w:pPr>
        <w:spacing w:after="0"/>
        <w:ind w:left="0"/>
        <w:jc w:val="both"/>
      </w:pPr>
      <w:r>
        <w:rPr>
          <w:rFonts w:ascii="Times New Roman"/>
          <w:b w:val="false"/>
          <w:i w:val="false"/>
          <w:color w:val="000000"/>
          <w:sz w:val="28"/>
        </w:rPr>
        <w:t xml:space="preserve">
      "20-1. Банктер: </w:t>
      </w:r>
    </w:p>
    <w:p>
      <w:pPr>
        <w:spacing w:after="0"/>
        <w:ind w:left="0"/>
        <w:jc w:val="both"/>
      </w:pPr>
      <w:r>
        <w:rPr>
          <w:rFonts w:ascii="Times New Roman"/>
          <w:b w:val="false"/>
          <w:i w:val="false"/>
          <w:color w:val="000000"/>
          <w:sz w:val="28"/>
        </w:rPr>
        <w:t>
      1) берудің жаңа тетіктерін қоса алғанда, жаңа өнімдерді және жаңа іскерлік практика әзірлеуге;</w:t>
      </w:r>
    </w:p>
    <w:p>
      <w:pPr>
        <w:spacing w:after="0"/>
        <w:ind w:left="0"/>
        <w:jc w:val="both"/>
      </w:pPr>
      <w:r>
        <w:rPr>
          <w:rFonts w:ascii="Times New Roman"/>
          <w:b w:val="false"/>
          <w:i w:val="false"/>
          <w:color w:val="000000"/>
          <w:sz w:val="28"/>
        </w:rPr>
        <w:t>
      2) жаңа және сол сияқты қолданыстағы өнімдер үшін жаңа немесе дамушы технологияларды пайдалануға байланысты туындауы мүмкін КЖ/ТҚ тәуекелдерін айқындайды және бағалайды.</w:t>
      </w:r>
    </w:p>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дейін немесе жаңа (дамушы) технологияларды пайдаланғанға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Клиентті тиісінше тексеру бойынша КЖ/ТҚҚ туралы заңның талаптарын іске асыру мақсатында банк клиенттерді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сондай-ақ КЖ/ТҚҚ туралы заңда көзделген клиент және оның өкілдері туралы мәліметтерді алу және тіркеу бойынша іс-шаралар жүргізуінде.</w:t>
      </w:r>
    </w:p>
    <w:p>
      <w:pPr>
        <w:spacing w:after="0"/>
        <w:ind w:left="0"/>
        <w:jc w:val="both"/>
      </w:pPr>
      <w:r>
        <w:rPr>
          <w:rFonts w:ascii="Times New Roman"/>
          <w:b w:val="false"/>
          <w:i w:val="false"/>
          <w:color w:val="000000"/>
          <w:sz w:val="28"/>
        </w:rPr>
        <w:t>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w:t>
      </w:r>
    </w:p>
    <w:bookmarkStart w:name="z12" w:id="4"/>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 қамтиды, бірақ онымен шектелмейді:</w:t>
      </w:r>
    </w:p>
    <w:bookmarkEnd w:id="4"/>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мен бенефициарлық меншік иелерінің, олардың жұбайларын (зайыптарын) және жақын туыстарын анықтауға бағытталған шаралардың сипаттамасы;</w:t>
      </w:r>
    </w:p>
    <w:p>
      <w:pPr>
        <w:spacing w:after="0"/>
        <w:ind w:left="0"/>
        <w:jc w:val="both"/>
      </w:pPr>
      <w:r>
        <w:rPr>
          <w:rFonts w:ascii="Times New Roman"/>
          <w:b w:val="false"/>
          <w:i w:val="false"/>
          <w:color w:val="000000"/>
          <w:sz w:val="28"/>
        </w:rPr>
        <w:t xml:space="preserve">
      5)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p>
      <w:pPr>
        <w:spacing w:after="0"/>
        <w:ind w:left="0"/>
        <w:jc w:val="both"/>
      </w:pPr>
      <w:r>
        <w:rPr>
          <w:rFonts w:ascii="Times New Roman"/>
          <w:b w:val="false"/>
          <w:i w:val="false"/>
          <w:color w:val="000000"/>
          <w:sz w:val="28"/>
        </w:rPr>
        <w:t>
      6) Тізбеден және ЖҚҚТҚ тізбесінен клиент (оның өкілі) туралы мәліметтер алып тасталған кезде нысаналы қаржы санкцияларының қолданысын тоқтату тәртібі;</w:t>
      </w:r>
    </w:p>
    <w:p>
      <w:pPr>
        <w:spacing w:after="0"/>
        <w:ind w:left="0"/>
        <w:jc w:val="both"/>
      </w:pPr>
      <w:r>
        <w:rPr>
          <w:rFonts w:ascii="Times New Roman"/>
          <w:b w:val="false"/>
          <w:i w:val="false"/>
          <w:color w:val="000000"/>
          <w:sz w:val="28"/>
        </w:rPr>
        <w:t>
      7) іскерлік қатынастарды қашықтан орнату кезінде (клиенттің немесе оның өкілінің жеке қатысуынсыз) сәйкестендіру ерекшеліктері;</w:t>
      </w:r>
    </w:p>
    <w:p>
      <w:pPr>
        <w:spacing w:after="0"/>
        <w:ind w:left="0"/>
        <w:jc w:val="both"/>
      </w:pPr>
      <w:r>
        <w:rPr>
          <w:rFonts w:ascii="Times New Roman"/>
          <w:b w:val="false"/>
          <w:i w:val="false"/>
          <w:color w:val="000000"/>
          <w:sz w:val="28"/>
        </w:rPr>
        <w:t>
      8) банк кіретін банк конгломераты белгілеген КЖ/ТҚҚ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w:t>
      </w:r>
    </w:p>
    <w:p>
      <w:pPr>
        <w:spacing w:after="0"/>
        <w:ind w:left="0"/>
        <w:jc w:val="both"/>
      </w:pPr>
      <w:r>
        <w:rPr>
          <w:rFonts w:ascii="Times New Roman"/>
          <w:b w:val="false"/>
          <w:i w:val="false"/>
          <w:color w:val="000000"/>
          <w:sz w:val="28"/>
        </w:rPr>
        <w:t>
      9)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дәйектілігін тексеру тәртібі;</w:t>
      </w:r>
    </w:p>
    <w:p>
      <w:pPr>
        <w:spacing w:after="0"/>
        <w:ind w:left="0"/>
        <w:jc w:val="both"/>
      </w:pPr>
      <w:r>
        <w:rPr>
          <w:rFonts w:ascii="Times New Roman"/>
          <w:b w:val="false"/>
          <w:i w:val="false"/>
          <w:color w:val="000000"/>
          <w:sz w:val="28"/>
        </w:rPr>
        <w:t>
      11)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13) КЖ/ТҚҚ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банктің сұратуы бойынша алу және ұсыну тәртібі. </w:t>
      </w:r>
    </w:p>
    <w:p>
      <w:pPr>
        <w:spacing w:after="0"/>
        <w:ind w:left="0"/>
        <w:jc w:val="both"/>
      </w:pPr>
      <w:r>
        <w:rPr>
          <w:rFonts w:ascii="Times New Roman"/>
          <w:b w:val="false"/>
          <w:i w:val="false"/>
          <w:color w:val="000000"/>
          <w:sz w:val="28"/>
        </w:rPr>
        <w:t xml:space="preserve">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 </w:t>
      </w:r>
    </w:p>
    <w:p>
      <w:pPr>
        <w:spacing w:after="0"/>
        <w:ind w:left="0"/>
        <w:jc w:val="both"/>
      </w:pPr>
      <w:r>
        <w:rPr>
          <w:rFonts w:ascii="Times New Roman"/>
          <w:b w:val="false"/>
          <w:i w:val="false"/>
          <w:color w:val="000000"/>
          <w:sz w:val="28"/>
        </w:rPr>
        <w:t xml:space="preserve">
      Егер банк КЖ/ТҚҚ туралы заңға сәйкес шарт негізінде өзге тұлғаға банктің клиенттеріне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банк осындай тұлғалармен өзара іс-қимыл жасаудың мыналар қамтылатын қағидаларын әзірлейді:</w:t>
      </w:r>
    </w:p>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p>
      <w:pPr>
        <w:spacing w:after="0"/>
        <w:ind w:left="0"/>
        <w:jc w:val="both"/>
      </w:pPr>
      <w:r>
        <w:rPr>
          <w:rFonts w:ascii="Times New Roman"/>
          <w:b w:val="false"/>
          <w:i w:val="false"/>
          <w:color w:val="000000"/>
          <w:sz w:val="28"/>
        </w:rPr>
        <w:t>
      банктің сәйкестендіру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 жүргізу тапсырылған тұлғалармен жасалған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банктің сәйкестендіру жүргізу тапсырылған тұлғалармен шартты орындаудан біржақты бас тарту туралы шешім қабылдауға уәкілетті лауазымды тұлғаларының тізбесі;</w:t>
      </w:r>
    </w:p>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w:t>
      </w:r>
    </w:p>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КЖ/ТҚҚ туралы заңның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банк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w:t>
      </w:r>
    </w:p>
    <w:p>
      <w:pPr>
        <w:spacing w:after="0"/>
        <w:ind w:left="0"/>
        <w:jc w:val="both"/>
      </w:pPr>
      <w:r>
        <w:rPr>
          <w:rFonts w:ascii="Times New Roman"/>
          <w:b w:val="false"/>
          <w:i w:val="false"/>
          <w:color w:val="000000"/>
          <w:sz w:val="28"/>
        </w:rPr>
        <w:t>
      1) клиент шекті операция (мәміле) жасаған;</w:t>
      </w:r>
    </w:p>
    <w:p>
      <w:pPr>
        <w:spacing w:after="0"/>
        <w:ind w:left="0"/>
        <w:jc w:val="both"/>
      </w:pPr>
      <w:r>
        <w:rPr>
          <w:rFonts w:ascii="Times New Roman"/>
          <w:b w:val="false"/>
          <w:i w:val="false"/>
          <w:color w:val="000000"/>
          <w:sz w:val="28"/>
        </w:rPr>
        <w:t>
      2) клиент күдікті операция (мәміле) жасаған (жасауға әрекет еткен);</w:t>
      </w:r>
    </w:p>
    <w:p>
      <w:pPr>
        <w:spacing w:after="0"/>
        <w:ind w:left="0"/>
        <w:jc w:val="both"/>
      </w:pPr>
      <w:r>
        <w:rPr>
          <w:rFonts w:ascii="Times New Roman"/>
          <w:b w:val="false"/>
          <w:i w:val="false"/>
          <w:color w:val="000000"/>
          <w:sz w:val="28"/>
        </w:rPr>
        <w:t>
      3) клиент қылмыстық кірістерді заңдастыру (жылыстату) және терроризмді қаржыландыру типологияларына, схемалары мен тәсілдеріне сәйкес келетін сипаттамасы бар операцияны (мәмілені) жасаған;</w:t>
      </w:r>
    </w:p>
    <w:p>
      <w:pPr>
        <w:spacing w:after="0"/>
        <w:ind w:left="0"/>
        <w:jc w:val="both"/>
      </w:pPr>
      <w:r>
        <w:rPr>
          <w:rFonts w:ascii="Times New Roman"/>
          <w:b w:val="false"/>
          <w:i w:val="false"/>
          <w:color w:val="000000"/>
          <w:sz w:val="28"/>
        </w:rPr>
        <w:t>
      4) клиент әдеттегіден тыс операция (мәміле) жасаған;</w:t>
      </w:r>
    </w:p>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дәйектілігіне күмәндануға негіздер болған;</w:t>
      </w:r>
    </w:p>
    <w:p>
      <w:pPr>
        <w:spacing w:after="0"/>
        <w:ind w:left="0"/>
        <w:jc w:val="both"/>
      </w:pPr>
      <w:r>
        <w:rPr>
          <w:rFonts w:ascii="Times New Roman"/>
          <w:b w:val="false"/>
          <w:i w:val="false"/>
          <w:color w:val="000000"/>
          <w:sz w:val="28"/>
        </w:rPr>
        <w:t>
      6) клиент 500 000 теңгеден асатын сомаға не 500 000 теңге баламасынан асатын шетел валютасындағы сомаға біржолғы операция (мәміле) жүргізген (жасаған), оның ішінде жеке тұлғаның банктік шотына ақшаны есепке алу не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бойынша операцияларды, айырбастау пунктінде қолма-қол шетел валютасын сатып алу, сату немесе айырбастау операцияларын жүргізген;</w:t>
      </w:r>
    </w:p>
    <w:p>
      <w:pPr>
        <w:spacing w:after="0"/>
        <w:ind w:left="0"/>
        <w:jc w:val="both"/>
      </w:pPr>
      <w:r>
        <w:rPr>
          <w:rFonts w:ascii="Times New Roman"/>
          <w:b w:val="false"/>
          <w:i w:val="false"/>
          <w:color w:val="000000"/>
          <w:sz w:val="28"/>
        </w:rPr>
        <w:t>
      7) клиенттің 200 000 теңгеден асатын сомаға не осындай клиенттің банктік шотына қол жеткізу құралы болып табылмайтын төлем карточкасын пайдалана отырып операциялар бойынша 200 000 теңге баламасынан асатын шетел валютасындағы сомаға біржолғы операция (мәміле) жүргізген (жасаған);</w:t>
      </w:r>
    </w:p>
    <w:p>
      <w:pPr>
        <w:spacing w:after="0"/>
        <w:ind w:left="0"/>
        <w:jc w:val="both"/>
      </w:pPr>
      <w:r>
        <w:rPr>
          <w:rFonts w:ascii="Times New Roman"/>
          <w:b w:val="false"/>
          <w:i w:val="false"/>
          <w:color w:val="000000"/>
          <w:sz w:val="28"/>
        </w:rPr>
        <w:t>
      8) клиенттің қолма-қол ақшаны қабылдауға арналған жабдық (құрылғы) арқылы мемлекеттік органдардың пайдасына атқарушылық іс жүргізу шеңберінде берешекті төлеу бойынша операция жүргізген;</w:t>
      </w:r>
    </w:p>
    <w:p>
      <w:pPr>
        <w:spacing w:after="0"/>
        <w:ind w:left="0"/>
        <w:jc w:val="both"/>
      </w:pPr>
      <w:r>
        <w:rPr>
          <w:rFonts w:ascii="Times New Roman"/>
          <w:b w:val="false"/>
          <w:i w:val="false"/>
          <w:color w:val="000000"/>
          <w:sz w:val="28"/>
        </w:rPr>
        <w:t xml:space="preserve">
      9) сәйкестендірілмеген электрондық ақша иелері-жеке тұлғалар "Төлемдер және төлем жүйелері туралы" Қазақстан Республикасының Заңы 44-бабының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сомадан аспайтын электрондық ақшаны сатып алу және пайдалану жөніндегі операцияларды жасаған жағдайларда клиент және бенефициарлық меншік иесі туралы алынған мәліметтердің дәйектілігін тексереді және іскерлік қатынастардың немесе біржолғы операцияның (мәміленің) болжамды мақсатын анықтайды.</w:t>
      </w:r>
    </w:p>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Start w:name="z14" w:id="5"/>
    <w:p>
      <w:pPr>
        <w:spacing w:after="0"/>
        <w:ind w:left="0"/>
        <w:jc w:val="both"/>
      </w:pPr>
      <w:r>
        <w:rPr>
          <w:rFonts w:ascii="Times New Roman"/>
          <w:b w:val="false"/>
          <w:i w:val="false"/>
          <w:color w:val="000000"/>
          <w:sz w:val="28"/>
        </w:rPr>
        <w:t xml:space="preserve">
      25. Клиентті (оның өкілін) және бенефициарлық меншік иесін сәйкестендіру шеңберінде Талаптардың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алынған мәліметтер құжатпен тіркеледі және банк клиенттің досьесіне енгізеді (қосады), ол клиентпен іскерлік қатынастардың бүкіл кезеңі ішінде және клиентпен іскерлік қатынастар немесе біржолғы операция (мәміле) жүргізу (жасау) тоқтатылған күннен бастап кем дегенде 5 (бес) жыл банкте сақталады.</w:t>
      </w:r>
    </w:p>
    <w:bookmarkEnd w:id="5"/>
    <w:p>
      <w:pPr>
        <w:spacing w:after="0"/>
        <w:ind w:left="0"/>
        <w:jc w:val="both"/>
      </w:pPr>
      <w:r>
        <w:rPr>
          <w:rFonts w:ascii="Times New Roman"/>
          <w:b w:val="false"/>
          <w:i w:val="false"/>
          <w:color w:val="000000"/>
          <w:sz w:val="28"/>
        </w:rPr>
        <w:t xml:space="preserve">
      Банк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банк клиент (оның өкілін) және бенефициарлық меншік иесін туралы қаржы мониторингінің басқа субъектілерінен клиенттің досьесіне енгізу (қосу) үшін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банк клиентті тиісінше тексеру шараларын негізге алатын басқа қаржы мониторингі субъектілерінің дерекқорынан үзінді көшірмелер жатады.</w:t>
      </w:r>
    </w:p>
    <w:p>
      <w:pPr>
        <w:spacing w:after="0"/>
        <w:ind w:left="0"/>
        <w:jc w:val="both"/>
      </w:pPr>
      <w:r>
        <w:rPr>
          <w:rFonts w:ascii="Times New Roman"/>
          <w:b w:val="false"/>
          <w:i w:val="false"/>
          <w:color w:val="000000"/>
          <w:sz w:val="28"/>
        </w:rPr>
        <w:t>
      Банк ішкі құжаттарға сәйкес досьелер жүргізетін клиенттердің топтары мыналарды қамтиды, бірақ шектелмейді:</w:t>
      </w:r>
    </w:p>
    <w:p>
      <w:pPr>
        <w:spacing w:after="0"/>
        <w:ind w:left="0"/>
        <w:jc w:val="both"/>
      </w:pPr>
      <w:r>
        <w:rPr>
          <w:rFonts w:ascii="Times New Roman"/>
          <w:b w:val="false"/>
          <w:i w:val="false"/>
          <w:color w:val="000000"/>
          <w:sz w:val="28"/>
        </w:rPr>
        <w:t>
      жеке тұлғалар;</w:t>
      </w:r>
    </w:p>
    <w:p>
      <w:pPr>
        <w:spacing w:after="0"/>
        <w:ind w:left="0"/>
        <w:jc w:val="both"/>
      </w:pPr>
      <w:r>
        <w:rPr>
          <w:rFonts w:ascii="Times New Roman"/>
          <w:b w:val="false"/>
          <w:i w:val="false"/>
          <w:color w:val="000000"/>
          <w:sz w:val="28"/>
        </w:rPr>
        <w:t>
      заңды тұлға құрмай шетелдік құрылым;</w:t>
      </w:r>
    </w:p>
    <w:p>
      <w:pPr>
        <w:spacing w:after="0"/>
        <w:ind w:left="0"/>
        <w:jc w:val="both"/>
      </w:pPr>
      <w:r>
        <w:rPr>
          <w:rFonts w:ascii="Times New Roman"/>
          <w:b w:val="false"/>
          <w:i w:val="false"/>
          <w:color w:val="000000"/>
          <w:sz w:val="28"/>
        </w:rPr>
        <w:t>
      заңды тұлғалар, оның ішінде шетелдік қаржы ұйымдары-респонденттер.</w:t>
      </w:r>
    </w:p>
    <w:p>
      <w:pPr>
        <w:spacing w:after="0"/>
        <w:ind w:left="0"/>
        <w:jc w:val="both"/>
      </w:pPr>
      <w:r>
        <w:rPr>
          <w:rFonts w:ascii="Times New Roman"/>
          <w:b w:val="false"/>
          <w:i w:val="false"/>
          <w:color w:val="000000"/>
          <w:sz w:val="28"/>
        </w:rPr>
        <w:t xml:space="preserve">
      Банк клиент досьесін ол туралы банк 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мәліметтер тізбесі бекітіледі.</w:t>
      </w:r>
    </w:p>
    <w:p>
      <w:pPr>
        <w:spacing w:after="0"/>
        <w:ind w:left="0"/>
        <w:jc w:val="both"/>
      </w:pPr>
      <w:r>
        <w:rPr>
          <w:rFonts w:ascii="Times New Roman"/>
          <w:b w:val="false"/>
          <w:i w:val="false"/>
          <w:color w:val="000000"/>
          <w:sz w:val="28"/>
        </w:rPr>
        <w:t>
      Клиентке тәуекелдің жоғары деңгейі берілген жағдайда оған қатысты тиісті тексерудің күшейтілген шаралары жүргізіледі және қосымша мәліметтерге КЖ/ТҚҚ туралы заңның 5-бабы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p>
      <w:pPr>
        <w:spacing w:after="0"/>
        <w:ind w:left="0"/>
        <w:jc w:val="both"/>
      </w:pPr>
      <w:r>
        <w:rPr>
          <w:rFonts w:ascii="Times New Roman"/>
          <w:b w:val="false"/>
          <w:i w:val="false"/>
          <w:color w:val="000000"/>
          <w:sz w:val="28"/>
        </w:rPr>
        <w:t xml:space="preserve">
      Шетелдік қаржы ұйымы және оның клиенттері корреспонденттік шоттар арқылы төлемдерді және (немесе) ақша аударымдарын жүзеге асырған кезде банк төлем құжатында КЖ/ТҚҚ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болуын тексереді.</w:t>
      </w:r>
    </w:p>
    <w:bookmarkStart w:name="z1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Клиентті (оның өкілін) және бенефициарлық меншік иесін сәйкестендіру барысында банк мұндай клиенттің (оның өкілінің) және бенефициарлық меншік иесінің Тізбеде және ЖҚҚТҚ тізбесінде болуына тексеру жүргізеді.</w:t>
      </w:r>
    </w:p>
    <w:bookmarkEnd w:id="6"/>
    <w:p>
      <w:pPr>
        <w:spacing w:after="0"/>
        <w:ind w:left="0"/>
        <w:jc w:val="both"/>
      </w:pPr>
      <w:r>
        <w:rPr>
          <w:rFonts w:ascii="Times New Roman"/>
          <w:b w:val="false"/>
          <w:i w:val="false"/>
          <w:color w:val="000000"/>
          <w:sz w:val="28"/>
        </w:rPr>
        <w:t>
      Банк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ҰЖЛТ-ға және ШЖЛТ-ға, олардың жұбайларына (зайыптарына) және жақын туыстарына тиесілігіне тексеру жүргізеді.</w:t>
      </w:r>
    </w:p>
    <w:p>
      <w:pPr>
        <w:spacing w:after="0"/>
        <w:ind w:left="0"/>
        <w:jc w:val="both"/>
      </w:pPr>
      <w:r>
        <w:rPr>
          <w:rFonts w:ascii="Times New Roman"/>
          <w:b w:val="false"/>
          <w:i w:val="false"/>
          <w:color w:val="000000"/>
          <w:sz w:val="28"/>
        </w:rPr>
        <w:t>
      Банктер ШЖЛТ-ға, оның жұбайына (зайыбына) және жақын туыстарына қатысты:</w:t>
      </w:r>
    </w:p>
    <w:p>
      <w:pPr>
        <w:spacing w:after="0"/>
        <w:ind w:left="0"/>
        <w:jc w:val="both"/>
      </w:pPr>
      <w:r>
        <w:rPr>
          <w:rFonts w:ascii="Times New Roman"/>
          <w:b w:val="false"/>
          <w:i w:val="false"/>
          <w:color w:val="000000"/>
          <w:sz w:val="28"/>
        </w:rPr>
        <w:t>
      1) ШЖЛТ беделін оның КЖ/ТҚ жағдайларына қатыстылығына қарай бағалауды жүзеге асыруға;</w:t>
      </w:r>
    </w:p>
    <w:p>
      <w:pPr>
        <w:spacing w:after="0"/>
        <w:ind w:left="0"/>
        <w:jc w:val="both"/>
      </w:pPr>
      <w:r>
        <w:rPr>
          <w:rFonts w:ascii="Times New Roman"/>
          <w:b w:val="false"/>
          <w:i w:val="false"/>
          <w:color w:val="000000"/>
          <w:sz w:val="28"/>
        </w:rPr>
        <w:t>
      2) банктің басшы қызметкерінің осындай клиенттермен (олардың өкілдерімен) және бенефициарлық меншік иелерімен іскерлік қатынастар орнатуға, оны жалғастыруға рұқсатын алуға;</w:t>
      </w:r>
    </w:p>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қабылдауға;</w:t>
      </w:r>
    </w:p>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 қабылдауға міндетті.</w:t>
      </w:r>
    </w:p>
    <w:p>
      <w:pPr>
        <w:spacing w:after="0"/>
        <w:ind w:left="0"/>
        <w:jc w:val="both"/>
      </w:pPr>
      <w:r>
        <w:rPr>
          <w:rFonts w:ascii="Times New Roman"/>
          <w:b w:val="false"/>
          <w:i w:val="false"/>
          <w:color w:val="000000"/>
          <w:sz w:val="28"/>
        </w:rPr>
        <w:t>
      Тәуекелдің жоғары деңгейі берілген ҰЖЛТ-ға, оның жұбайына (зайыбына) және жақын туыстарына қатысты банк қосымша осы тармақтың үшінші бөлігінің 1), 2), 3) және 4) тармақшаларында белгіленген шараларды қолданады.</w:t>
      </w:r>
    </w:p>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алу талап етілмейді.</w:t>
      </w:r>
    </w:p>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p>
      <w:pPr>
        <w:spacing w:after="0"/>
        <w:ind w:left="0"/>
        <w:jc w:val="both"/>
      </w:pPr>
      <w:r>
        <w:rPr>
          <w:rFonts w:ascii="Times New Roman"/>
          <w:b w:val="false"/>
          <w:i w:val="false"/>
          <w:color w:val="000000"/>
          <w:sz w:val="28"/>
        </w:rPr>
        <w:t>
      Банк жеке тұлғаны (заңды тұлғаның немесе заңды тұлға құрмай шетелдік құрылым басшысының, бенефициарлық меншік иесін) сәйкестендіру кезінде мынадай деректерді белгілейді және тіркейді:</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туған күні және жері;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жеке басын куәландыратын құжаттың және (немесе) оның негізінде сәйкестендіру жүргізілетін өзге де құжаттың деректемелері; </w:t>
      </w:r>
    </w:p>
    <w:p>
      <w:pPr>
        <w:spacing w:after="0"/>
        <w:ind w:left="0"/>
        <w:jc w:val="both"/>
      </w:pPr>
      <w:r>
        <w:rPr>
          <w:rFonts w:ascii="Times New Roman"/>
          <w:b w:val="false"/>
          <w:i w:val="false"/>
          <w:color w:val="000000"/>
          <w:sz w:val="28"/>
        </w:rPr>
        <w:t>
      қызмет түрі (жеке кәсіпкерлер үшін);</w:t>
      </w:r>
    </w:p>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p>
      <w:pPr>
        <w:spacing w:after="0"/>
        <w:ind w:left="0"/>
        <w:jc w:val="both"/>
      </w:pPr>
      <w:r>
        <w:rPr>
          <w:rFonts w:ascii="Times New Roman"/>
          <w:b w:val="false"/>
          <w:i w:val="false"/>
          <w:color w:val="000000"/>
          <w:sz w:val="28"/>
        </w:rPr>
        <w:t>
      Банк заңды тұлға-клиентті және заңды тұлға құрмай шетелдік құрылым-клиентті сәйкестендіру кезінде мынадай деректерді белгілейді және тіркейді: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ұйымның тіркеу нөмірі және мемлекеттік тіркелген күні;</w:t>
      </w:r>
    </w:p>
    <w:p>
      <w:pPr>
        <w:spacing w:after="0"/>
        <w:ind w:left="0"/>
        <w:jc w:val="both"/>
      </w:pPr>
      <w:r>
        <w:rPr>
          <w:rFonts w:ascii="Times New Roman"/>
          <w:b w:val="false"/>
          <w:i w:val="false"/>
          <w:color w:val="000000"/>
          <w:sz w:val="28"/>
        </w:rPr>
        <w:t xml:space="preserve">
      тіркеуші органның атауы (олар бар болса); </w:t>
      </w:r>
    </w:p>
    <w:p>
      <w:pPr>
        <w:spacing w:after="0"/>
        <w:ind w:left="0"/>
        <w:jc w:val="both"/>
      </w:pPr>
      <w:r>
        <w:rPr>
          <w:rFonts w:ascii="Times New Roman"/>
          <w:b w:val="false"/>
          <w:i w:val="false"/>
          <w:color w:val="000000"/>
          <w:sz w:val="28"/>
        </w:rPr>
        <w:t xml:space="preserve">
      орналасқан және тіркелген жері;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
      басшы (құрылтай құжаттарына сәйкес заңды тұлға-клиенттің атынан әрекет етуге уәкілетті өзге тұлға), қаржылық құжаттарға қол қою құқығы бар тұлға туралы деректер; </w:t>
      </w:r>
    </w:p>
    <w:p>
      <w:pPr>
        <w:spacing w:after="0"/>
        <w:ind w:left="0"/>
        <w:jc w:val="both"/>
      </w:pPr>
      <w:r>
        <w:rPr>
          <w:rFonts w:ascii="Times New Roman"/>
          <w:b w:val="false"/>
          <w:i w:val="false"/>
          <w:color w:val="000000"/>
          <w:sz w:val="28"/>
        </w:rPr>
        <w:t>
      бенефициарлық меншік иелері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Клиенттердің операцияларын мониторингтеу және зерделеу бағдарламасы төмендегілерден тұрады, бірақ олармен шектелмейді:</w:t>
      </w:r>
    </w:p>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қаржылық мониторинг жөніндегі уәкілетті орган анықтаған, сондай-ақ банк дербес түрде әзірлеген күдікті операцияларды анықтау белгілерінің негізінде құрылған күдікті операциялар белгілерінің тізбесі;</w:t>
      </w:r>
    </w:p>
    <w:p>
      <w:pPr>
        <w:spacing w:after="0"/>
        <w:ind w:left="0"/>
        <w:jc w:val="both"/>
      </w:pPr>
      <w:r>
        <w:rPr>
          <w:rFonts w:ascii="Times New Roman"/>
          <w:b w:val="false"/>
          <w:i w:val="false"/>
          <w:color w:val="000000"/>
          <w:sz w:val="28"/>
        </w:rPr>
        <w:t xml:space="preserve">
      2) клиенттің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қаржылық мониторинг жөніндегі уәкілетті орган бекіткен қылмыстық жолмен алынған кірістерді заңдастыру және терроризмді қаржыландыру типологиялары, схемалары мен тәсілдеріне сәйкес келетін сипаттамалардан тұратын операцияларын анықтау рәсімі;</w:t>
      </w:r>
    </w:p>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 алу бойынша банк бөлімшелерінің (қызметкерлерінің) арасында міндеттерді бөлу;</w:t>
      </w:r>
    </w:p>
    <w:p>
      <w:pPr>
        <w:spacing w:after="0"/>
        <w:ind w:left="0"/>
        <w:jc w:val="both"/>
      </w:pPr>
      <w:r>
        <w:rPr>
          <w:rFonts w:ascii="Times New Roman"/>
          <w:b w:val="false"/>
          <w:i w:val="false"/>
          <w:color w:val="000000"/>
          <w:sz w:val="28"/>
        </w:rPr>
        <w:t>
      4) шекті, әдеттегіден тыс және күдікті операциялар туралы мәліметтерді анықтау және бөлімшелердің (қызметкерлердің) арасында беру бойынша банк бөлімшелерінің (қызметкерлерінің) арасында міндеттерді бөлу;</w:t>
      </w:r>
    </w:p>
    <w:p>
      <w:pPr>
        <w:spacing w:after="0"/>
        <w:ind w:left="0"/>
        <w:jc w:val="both"/>
      </w:pPr>
      <w:r>
        <w:rPr>
          <w:rFonts w:ascii="Times New Roman"/>
          <w:b w:val="false"/>
          <w:i w:val="false"/>
          <w:color w:val="000000"/>
          <w:sz w:val="28"/>
        </w:rPr>
        <w:t>
      5) жауапты қызметкердің клиент операциясының біліктілігі туралы шешім қабылдау тәртібі, негіздемелері және мерзімі;</w:t>
      </w:r>
    </w:p>
    <w:p>
      <w:pPr>
        <w:spacing w:after="0"/>
        <w:ind w:left="0"/>
        <w:jc w:val="both"/>
      </w:pPr>
      <w:r>
        <w:rPr>
          <w:rFonts w:ascii="Times New Roman"/>
          <w:b w:val="false"/>
          <w:i w:val="false"/>
          <w:color w:val="000000"/>
          <w:sz w:val="28"/>
        </w:rPr>
        <w:t>
      6) әдеттегіден тыс операцияларды (мәмілелерді) зерделеу нәтижелері туралы мәліметтерді, сондай-ақ шекті және күдікті операциялар (соның ішінде операция сомасы) туралы мәліметтерді белгілеу (соның ішінде белгілеу тәсілдері) және сақтау тәртібі;</w:t>
      </w:r>
    </w:p>
    <w:p>
      <w:pPr>
        <w:spacing w:after="0"/>
        <w:ind w:left="0"/>
        <w:jc w:val="both"/>
      </w:pPr>
      <w:r>
        <w:rPr>
          <w:rFonts w:ascii="Times New Roman"/>
          <w:b w:val="false"/>
          <w:i w:val="false"/>
          <w:color w:val="000000"/>
          <w:sz w:val="28"/>
        </w:rPr>
        <w:t>
      7) тәуекелдің жоғары деңгейі берілген клиенттердің операцияларына мониторинг жүргізу және зерделеу тәртібі;</w:t>
      </w:r>
    </w:p>
    <w:p>
      <w:pPr>
        <w:spacing w:after="0"/>
        <w:ind w:left="0"/>
        <w:jc w:val="both"/>
      </w:pPr>
      <w:r>
        <w:rPr>
          <w:rFonts w:ascii="Times New Roman"/>
          <w:b w:val="false"/>
          <w:i w:val="false"/>
          <w:color w:val="000000"/>
          <w:sz w:val="28"/>
        </w:rPr>
        <w:t>
      8) клиент жүйелі түрде және (немесе) елеулі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p>
      <w:pPr>
        <w:spacing w:after="0"/>
        <w:ind w:left="0"/>
        <w:jc w:val="both"/>
      </w:pPr>
      <w:r>
        <w:rPr>
          <w:rFonts w:ascii="Times New Roman"/>
          <w:b w:val="false"/>
          <w:i w:val="false"/>
          <w:color w:val="000000"/>
          <w:sz w:val="28"/>
        </w:rPr>
        <w:t>
      9) қаржылық мониторинг жөніндегі уәкілетті органға шекті және күдікті операциялар туралы хабарлар ұсыну тәртібі;</w:t>
      </w:r>
    </w:p>
    <w:p>
      <w:pPr>
        <w:spacing w:after="0"/>
        <w:ind w:left="0"/>
        <w:jc w:val="both"/>
      </w:pPr>
      <w:r>
        <w:rPr>
          <w:rFonts w:ascii="Times New Roman"/>
          <w:b w:val="false"/>
          <w:i w:val="false"/>
          <w:color w:val="000000"/>
          <w:sz w:val="28"/>
        </w:rPr>
        <w:t>
      10) банктің уәкілетті органдары мен лауазымды адамдарына шекті және күдікті операцияның анықталғандығы туралы хабарлау (қажет болған кезде) тәртібі.</w:t>
      </w:r>
    </w:p>
    <w:p>
      <w:pPr>
        <w:spacing w:after="0"/>
        <w:ind w:left="0"/>
        <w:jc w:val="both"/>
      </w:pPr>
      <w:r>
        <w:rPr>
          <w:rFonts w:ascii="Times New Roman"/>
          <w:b w:val="false"/>
          <w:i w:val="false"/>
          <w:color w:val="000000"/>
          <w:sz w:val="28"/>
        </w:rPr>
        <w:t xml:space="preserve">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қаржылық мониторинг жөніндегі уәкілетті орган анықтаған күдікті операциялардың белгілерін анықтау мақсатында, банк қызметінің ауқымы мен негізгі бағыттарын, оның клиенттері қызметінің сипаты, ауқымы мен негізгі бағыттарын, клиенттер мен олардың операцияларымен байланысты тәуекелдер деңгейін ескере отырып, банк ішкі бақылау қағидаларында дербес түрде бағалау критерийлерін (жүйелілік, тұрақтылық, мәнділік, маңыздылық, асыра алаңдаушылық, негізсіз асығыстық, кішігірім кезең, үлкен көлем, адамдар тобы) анықтайды.</w:t>
      </w:r>
    </w:p>
    <w:bookmarkStart w:name="z18" w:id="7"/>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бағдарламасының аясында банк барлық шекті, әдеттегіден тыс, күдікті операциялар мен КЖ/ТҚ типологияларына, схемаларына және тәсілдеріне сәйкес келетін сипаттамалардан тұратын операциялардың мақсаттары мен негіздемелерін, сондай-ақ қажет болатын жағдайда қаржыландыру көзін анықтауға бағытталған іс-шараларды жүргізеді.</w:t>
      </w:r>
    </w:p>
    <w:bookmarkEnd w:id="7"/>
    <w:p>
      <w:pPr>
        <w:spacing w:after="0"/>
        <w:ind w:left="0"/>
        <w:jc w:val="both"/>
      </w:pPr>
      <w:r>
        <w:rPr>
          <w:rFonts w:ascii="Times New Roman"/>
          <w:b w:val="false"/>
          <w:i w:val="false"/>
          <w:color w:val="000000"/>
          <w:sz w:val="28"/>
        </w:rPr>
        <w:t xml:space="preserve">
      Банк клиенттердің операцияларын мониторингтеу және зерделеу нәтижелерін банк қызметтерінің (өнімдерінің ) КЖ/ТҚ тәуекелдеріне ұшырау дәрежесін жыл сайын бағалау, сондай-ақ клиенттердің тәуекелдер деңгейлерін қайта қарау үшін пайдаланады. </w:t>
      </w:r>
    </w:p>
    <w:p>
      <w:pPr>
        <w:spacing w:after="0"/>
        <w:ind w:left="0"/>
        <w:jc w:val="both"/>
      </w:pPr>
      <w:r>
        <w:rPr>
          <w:rFonts w:ascii="Times New Roman"/>
          <w:b w:val="false"/>
          <w:i w:val="false"/>
          <w:color w:val="000000"/>
          <w:sz w:val="28"/>
        </w:rPr>
        <w:t xml:space="preserve">
      Клиенттердің операцияларын мониторингтеу және зерделеу бағдарламасын іске асыру шеңберінде алынған мәліметтер Талаптардың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клиент досьесіне енгізіледі және (немесе) банкте клиентпен іскерлік қатынастардың бүкіл кезеңі бойы және операция жасалғаннан кейін және біржолғы операция (мәміле) жасалғаннан кейін кемінде бес жыл сақталады.</w:t>
      </w:r>
    </w:p>
    <w:bookmarkStart w:name="z19" w:id="8"/>
    <w:p>
      <w:pPr>
        <w:spacing w:after="0"/>
        <w:ind w:left="0"/>
        <w:jc w:val="both"/>
      </w:pPr>
      <w:r>
        <w:rPr>
          <w:rFonts w:ascii="Times New Roman"/>
          <w:b w:val="false"/>
          <w:i w:val="false"/>
          <w:color w:val="000000"/>
          <w:sz w:val="28"/>
        </w:rPr>
        <w:t xml:space="preserve">
      31. Клиент операцияларын зерделеу жиілігін банк клиенттің (клиенттер тобының) тәуекел деңгейін және (немесе) клиент пайдаланатын банк қызметтерінің (өнімдерінің) КЖ/ТҚ тәуекелдеріне ұшырау дәрежесін, клиенттің қаржылық мониторинг жасалуы тиіс операция (операциялар) жасауын (жасауға әрекеттерін), сондай-ақ банктегі қаржылық мониторинг жөніндегі уәкілетті орган бекіткен КЖ/ТҚ типологиялары, схемалары мен тәсілдерін ескере отырып анықтайды. </w:t>
      </w:r>
    </w:p>
    <w:bookmarkEnd w:id="8"/>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кезде банк клиенттің белгілі бір уақыт кезеңінде, бірақ кем дегенде соңғы айда жүргізетін (жүргізген) операцияларын зерделейді.</w:t>
      </w:r>
    </w:p>
    <w:p>
      <w:pPr>
        <w:spacing w:after="0"/>
        <w:ind w:left="0"/>
        <w:jc w:val="both"/>
      </w:pPr>
      <w:r>
        <w:rPr>
          <w:rFonts w:ascii="Times New Roman"/>
          <w:b w:val="false"/>
          <w:i w:val="false"/>
          <w:color w:val="000000"/>
          <w:sz w:val="28"/>
        </w:rPr>
        <w:t xml:space="preserve">
      КЖ/ТҚҚ туралы заңның 4-бабы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негіздерден басқа, банк тәуекелдің жоғары деңгейі берілген клиентке қолма-қол ақшаны біржолғы беру операциясын, оның ішінде банк банктің ішкі бақылау қағидаларында дербес түрде анықтаған сомаға банктік шотты (шоттарды) пайдалану арқылы жасалған операциясын қосымша түрде зерделейді. Уәкілетті орган тәуекелдің жоғары деңгейі берілген клиентке қолма-қол ақшаны біржолғы беру операциясының сомасын қайта қарау қажеттілігі туралы нұсқау жіберген жағдайда, банк нұсқауға сәйкес лимиттер белгілейді.".</w:t>
      </w:r>
    </w:p>
    <w:bookmarkStart w:name="z20" w:id="9"/>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21" w:id="10"/>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0"/>
    <w:bookmarkStart w:name="z22" w:id="11"/>
    <w:p>
      <w:pPr>
        <w:spacing w:after="0"/>
        <w:ind w:left="0"/>
        <w:jc w:val="both"/>
      </w:pPr>
      <w:r>
        <w:rPr>
          <w:rFonts w:ascii="Times New Roman"/>
          <w:b w:val="false"/>
          <w:i w:val="false"/>
          <w:color w:val="000000"/>
          <w:sz w:val="28"/>
        </w:rPr>
        <w:t>
      4. Осы қаулы алғашқы ресми жарияланғаннан күнінен кейін күнтізбелік отыз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w:t>
            </w:r>
            <w:r>
              <w:rPr>
                <w:rFonts w:ascii="Times New Roman"/>
                <w:b/>
                <w:i w:val="false"/>
                <w:color w:val="000000"/>
                <w:sz w:val="20"/>
              </w:rPr>
              <w:t>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Қаржылық</w:t>
            </w:r>
            <w:r>
              <w:rPr>
                <w:rFonts w:ascii="Times New Roman"/>
                <w:b/>
                <w:i w:val="false"/>
                <w:color w:val="000000"/>
                <w:sz w:val="20"/>
              </w:rPr>
              <w:t xml:space="preserve"> мониторинг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