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e855" w14:textId="a24e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және 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2018 жылғы 19 маусымдағы № 259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11 ақпандағы № 55 бұйрығы. Қазақстан Республикасының Әділет министрлігінде 2022 жылғы 15 ақпанда № 26807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09.06.2023 </w:t>
      </w:r>
      <w:r>
        <w:rPr>
          <w:rFonts w:ascii="Times New Roman"/>
          <w:b w:val="false"/>
          <w:i w:val="false"/>
          <w:color w:val="000000"/>
          <w:sz w:val="28"/>
        </w:rPr>
        <w:t>№ 214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
    <w:bookmarkStart w:name="z9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4" w:id="3"/>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3"/>
    <w:bookmarkStart w:name="z95"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4"/>
    <w:bookmarkStart w:name="z96"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Е.Е. Біржановқа жүктелсін.</w:t>
      </w:r>
    </w:p>
    <w:bookmarkEnd w:id="5"/>
    <w:bookmarkStart w:name="z9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Ескерту.2-қосымшаның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Ескерту.3-қосымшаның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Ескерту.4-қосымшаның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Ескерту.5-қосымшаның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Ескерту.6-қосымшаның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r>
              <w:br/>
            </w:r>
            <w:r>
              <w:rPr>
                <w:rFonts w:ascii="Times New Roman"/>
                <w:b w:val="false"/>
                <w:i w:val="false"/>
                <w:color w:val="000000"/>
                <w:sz w:val="20"/>
              </w:rPr>
              <w:t>№ 55 Бұйрыққа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Ескерту.7-қосымшаның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214</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