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c68fd" w14:textId="80c68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берудің халықаралық стандарттық жіктелімі-2011" сызбасы бойынша білім берудің статистикалық көрсеткіштерін қалыптастыру жөніндегі әдістемені бекіту туралы" Қазақстан Республикасы Ұлттық экономика министрлігі Статистика комитеті төрағасының міндет атқарушының 2015 жылғы 23 желтоқсандағы № 220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м.а. 2022 жылғы 10 қаңтардағы № 51 бұйрығы. Қазақстан Республикасының Әділет министрлігінде 2022 жылғы 18 қаңтарда № 26521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"Білім берудің халықаралық стандарттық жіктелімі-2011" сызбасы бойынша білім берудің статистикалық көрсеткіштерін қалыптастыру жөніндегі әдістеме туралы" Қазақстан Республикасы Ұлттық экономика министрлігі Статистика комитеті төрағасының міндетін атқарушының 2015 жылғы 23 желтоқсандағы № 220 (Нормативтік құқықтық актілерді мемлекеттік тіркеу тізілімінде № 12908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1"/>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сондай-ақ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w:t>
      </w:r>
      <w:r>
        <w:rPr>
          <w:rFonts w:ascii="Times New Roman"/>
          <w:b w:val="false"/>
          <w:i w:val="false"/>
          <w:color w:val="000000"/>
          <w:sz w:val="28"/>
        </w:rPr>
        <w:t>17-тармағы</w:t>
      </w:r>
      <w:r>
        <w:rPr>
          <w:rFonts w:ascii="Times New Roman"/>
          <w:b w:val="false"/>
          <w:i w:val="false"/>
          <w:color w:val="000000"/>
          <w:sz w:val="28"/>
        </w:rPr>
        <w:t xml:space="preserve"> 22)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xml:space="preserve">
      көрсетілген бұйрықпен бекітілген "Білім берудің халықаралық стандарттық жіктелімі-2011" сызбасы бойынша білім берудің статистикалық көрсеткіштерін қалыптастыру жөніндегі </w:t>
      </w:r>
      <w:r>
        <w:rPr>
          <w:rFonts w:ascii="Times New Roman"/>
          <w:b w:val="false"/>
          <w:i w:val="false"/>
          <w:color w:val="000000"/>
          <w:sz w:val="28"/>
        </w:rPr>
        <w:t>әдістеме</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Әлеуметтік және демографиялық статистика департаменті Заң департаментімен бірлесіп заңнамада белгіленген тәртіппен:</w:t>
      </w:r>
    </w:p>
    <w:bookmarkEnd w:id="3"/>
    <w:bookmarkStart w:name="z5" w:id="4"/>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Әлеуметтік және демографиялық статистика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үшін жеткізсін.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Басшының міндетін атқарушы                                                                 Ж. Джаркинбаев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Білім және ғылым министрілігі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Басшының міндетін атқарушы</w:t>
            </w:r>
            <w:r>
              <w:br/>
            </w:r>
            <w:r>
              <w:rPr>
                <w:rFonts w:ascii="Times New Roman"/>
                <w:b w:val="false"/>
                <w:i w:val="false"/>
                <w:color w:val="000000"/>
                <w:sz w:val="20"/>
              </w:rPr>
              <w:t>2022 жылғы 10 қаңтардағы</w:t>
            </w:r>
            <w:r>
              <w:br/>
            </w:r>
            <w:r>
              <w:rPr>
                <w:rFonts w:ascii="Times New Roman"/>
                <w:b w:val="false"/>
                <w:i w:val="false"/>
                <w:color w:val="000000"/>
                <w:sz w:val="20"/>
              </w:rPr>
              <w:t>№ 51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 xml:space="preserve">төрағасының міндет </w:t>
            </w:r>
            <w:r>
              <w:br/>
            </w:r>
            <w:r>
              <w:rPr>
                <w:rFonts w:ascii="Times New Roman"/>
                <w:b w:val="false"/>
                <w:i w:val="false"/>
                <w:color w:val="000000"/>
                <w:sz w:val="20"/>
              </w:rPr>
              <w:t>атқарушының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220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Білім берудің халықаралық стандарттық жіктелімі-2011" сызбасы бойынша білім берудің статистикалық көрсеткіштерін қалыптастыру жөніндегі әдістеме</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"Білім берудің халықаралық стандарттық жіктелімі-2011" сызбасы бойынша білім берудің статистикалық көрсеткіштерін қалыптастыру жөніндегі әдістеме (бұдан әрі – Әдістеме) халықаралық стандарттарға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жалпы мемлекеттік статистикалық байқаулар шеңберінде қалыптастырылатын білім беру статистикасы саласындағы көрсеткіштердің тізбесін белгілейді.</w:t>
      </w:r>
    </w:p>
    <w:bookmarkEnd w:id="11"/>
    <w:bookmarkStart w:name="z14" w:id="12"/>
    <w:p>
      <w:pPr>
        <w:spacing w:after="0"/>
        <w:ind w:left="0"/>
        <w:jc w:val="both"/>
      </w:pPr>
      <w:r>
        <w:rPr>
          <w:rFonts w:ascii="Times New Roman"/>
          <w:b w:val="false"/>
          <w:i w:val="false"/>
          <w:color w:val="000000"/>
          <w:sz w:val="28"/>
        </w:rPr>
        <w:t>
      2. Осы Әдістемеде мынадай анықтамалар пайдаланылады:</w:t>
      </w:r>
    </w:p>
    <w:bookmarkEnd w:id="12"/>
    <w:bookmarkStart w:name="z15" w:id="13"/>
    <w:p>
      <w:pPr>
        <w:spacing w:after="0"/>
        <w:ind w:left="0"/>
        <w:jc w:val="both"/>
      </w:pPr>
      <w:r>
        <w:rPr>
          <w:rFonts w:ascii="Times New Roman"/>
          <w:b w:val="false"/>
          <w:i w:val="false"/>
          <w:color w:val="000000"/>
          <w:sz w:val="28"/>
        </w:rPr>
        <w:t>
      1) ББЖХС – білім беру бағдарламалары мен білім беру деңгейлері мен салалары бойынша тиісті біліктіліктерді ретке келтіруге арналған нұсқаулық болып табылатын халықаралық стандартты жіктелім;</w:t>
      </w:r>
    </w:p>
    <w:bookmarkEnd w:id="13"/>
    <w:bookmarkStart w:name="z16" w:id="14"/>
    <w:p>
      <w:pPr>
        <w:spacing w:after="0"/>
        <w:ind w:left="0"/>
        <w:jc w:val="both"/>
      </w:pPr>
      <w:r>
        <w:rPr>
          <w:rFonts w:ascii="Times New Roman"/>
          <w:b w:val="false"/>
          <w:i w:val="false"/>
          <w:color w:val="000000"/>
          <w:sz w:val="28"/>
        </w:rPr>
        <w:t>
      2) ББЖХС-0 деңгейі – ББЖХС-1 деңгейіне түсу жасына толмаған және балаларды оқу қызметіне дайындау және бастауыш білім беру бағдарламалары бойынша оқуға түсу үшін қажетті кейбір дағдыларды дамытуға бағытталған кіші жастағы балалардың білімі;</w:t>
      </w:r>
    </w:p>
    <w:bookmarkEnd w:id="14"/>
    <w:bookmarkStart w:name="z17" w:id="15"/>
    <w:p>
      <w:pPr>
        <w:spacing w:after="0"/>
        <w:ind w:left="0"/>
        <w:jc w:val="both"/>
      </w:pPr>
      <w:r>
        <w:rPr>
          <w:rFonts w:ascii="Times New Roman"/>
          <w:b w:val="false"/>
          <w:i w:val="false"/>
          <w:color w:val="000000"/>
          <w:sz w:val="28"/>
        </w:rPr>
        <w:t>
      3) ББЖХС-1 – деңгейі бастауыш білім беру, оқудың, жазудың және математиканың негізгі дағдыларына (яғни, сауаттылық пен санау) оқытуға және білімнің негізгі салаларын зерделеу мен түсіну үшін, тұлғаны дамыту үшін, орта білім берудің бірінші кезеңінде оқытуды дайындау үшін маңызды негіз жасауға бағытталған оқу және білім беру қызметі;</w:t>
      </w:r>
    </w:p>
    <w:bookmarkEnd w:id="15"/>
    <w:bookmarkStart w:name="z18" w:id="16"/>
    <w:p>
      <w:pPr>
        <w:spacing w:after="0"/>
        <w:ind w:left="0"/>
        <w:jc w:val="both"/>
      </w:pPr>
      <w:r>
        <w:rPr>
          <w:rFonts w:ascii="Times New Roman"/>
          <w:b w:val="false"/>
          <w:i w:val="false"/>
          <w:color w:val="000000"/>
          <w:sz w:val="28"/>
        </w:rPr>
        <w:t>
      4) ББЖХС-2 деңгейі – бұл ББЖХС-1 базасында алынған білімді арттыруға бағытталған негізгі орта білім;</w:t>
      </w:r>
    </w:p>
    <w:bookmarkEnd w:id="16"/>
    <w:bookmarkStart w:name="z19" w:id="17"/>
    <w:p>
      <w:pPr>
        <w:spacing w:after="0"/>
        <w:ind w:left="0"/>
        <w:jc w:val="both"/>
      </w:pPr>
      <w:r>
        <w:rPr>
          <w:rFonts w:ascii="Times New Roman"/>
          <w:b w:val="false"/>
          <w:i w:val="false"/>
          <w:color w:val="000000"/>
          <w:sz w:val="28"/>
        </w:rPr>
        <w:t>
      5) ББЖХС-3 деңгейі – бұл жалпы орта және техникалық кәсіптік білім беруден тұратын орта білім деңгейі, орта білім алу және үшінші білім алуға дайындық немесе одан әрі жұмысқа орналасу мақсатында әзірленеді;</w:t>
      </w:r>
    </w:p>
    <w:bookmarkEnd w:id="17"/>
    <w:bookmarkStart w:name="z20" w:id="18"/>
    <w:p>
      <w:pPr>
        <w:spacing w:after="0"/>
        <w:ind w:left="0"/>
        <w:jc w:val="both"/>
      </w:pPr>
      <w:r>
        <w:rPr>
          <w:rFonts w:ascii="Times New Roman"/>
          <w:b w:val="false"/>
          <w:i w:val="false"/>
          <w:color w:val="000000"/>
          <w:sz w:val="28"/>
        </w:rPr>
        <w:t>
      6) ББЖХС-4 деңгейі – орта білімнен кейінгі үшіншілік емес білім беру, орта білім негізінде оқу тәжірибесін алуды, еңбек нарығына шығуға дайындықты және үшінші білім алуды анықтайды. Білім берудің бұл деңгейі орта білім берудің екінші кезеңін (ББЖХС-3 деңгейі) аяқтаған, бірақ еңбек нарығындағы мүмкіндіктерді арттыруға немесе үшінші білім беру жүйесінде оқуды жалғастыруға ниет білдірген оқушыларға бағытталған;</w:t>
      </w:r>
    </w:p>
    <w:bookmarkEnd w:id="18"/>
    <w:bookmarkStart w:name="z21" w:id="19"/>
    <w:p>
      <w:pPr>
        <w:spacing w:after="0"/>
        <w:ind w:left="0"/>
        <w:jc w:val="both"/>
      </w:pPr>
      <w:r>
        <w:rPr>
          <w:rFonts w:ascii="Times New Roman"/>
          <w:b w:val="false"/>
          <w:i w:val="false"/>
          <w:color w:val="000000"/>
          <w:sz w:val="28"/>
        </w:rPr>
        <w:t>
      7) ББЖХС-5 деңгейі – үшіншілік емес білім берудің қысқа циклі. Қатысушыларға кәсіби білім беруге және кәсіби дағдылар мен құзыреттерді дамытуға арналған. ББЖХС-5 деңгейіндегі бағдарламалар, әдетте, еңбек қызметіне дайындалуға арналған, сондай-ақ ББЖХС-6 немесе 7 деңгейлеріндегі бағдарламаларға өту үшін негіз болып табылады;</w:t>
      </w:r>
    </w:p>
    <w:bookmarkEnd w:id="19"/>
    <w:bookmarkStart w:name="z22" w:id="20"/>
    <w:p>
      <w:pPr>
        <w:spacing w:after="0"/>
        <w:ind w:left="0"/>
        <w:jc w:val="both"/>
      </w:pPr>
      <w:r>
        <w:rPr>
          <w:rFonts w:ascii="Times New Roman"/>
          <w:b w:val="false"/>
          <w:i w:val="false"/>
          <w:color w:val="000000"/>
          <w:sz w:val="28"/>
        </w:rPr>
        <w:t>
      8) ББЖХС-6 деңгейі – бакалавриат немесе оның баламасы қатысушылардың бірінші дәрежелі немесе тең дәрежелі біліктілік тағайындауға әкелетін аралық академиялық және кәсіби білімді, дағдылар мен құзыреттерді алуына арналған. Бұл деңгейдегі бағдарламалар әдетте теориялық негізге ие, сондай-ақ практикалық компоненттерді қамтиды және зерттеудің жоғары деңгейімен және ең жақсы кәсіби тәжірибесімен сипатталады;</w:t>
      </w:r>
    </w:p>
    <w:bookmarkEnd w:id="20"/>
    <w:bookmarkStart w:name="z23" w:id="21"/>
    <w:p>
      <w:pPr>
        <w:spacing w:after="0"/>
        <w:ind w:left="0"/>
        <w:jc w:val="both"/>
      </w:pPr>
      <w:r>
        <w:rPr>
          <w:rFonts w:ascii="Times New Roman"/>
          <w:b w:val="false"/>
          <w:i w:val="false"/>
          <w:color w:val="000000"/>
          <w:sz w:val="28"/>
        </w:rPr>
        <w:t>
      9) ББЖХС-7 деңгейі – магистратура немесе оның баламасы қатысушыларға кеңейтілген академиялық және кәсіби білім беруге, екінші дәреже немесе тең дәрежелі біліктілік тағайындауға әкелетін дағдылар мен құзыреттерді дамытуға арналған. Бұл деңгейдегі бағдарламалар айтарлықтай зерттеу компонентіне ие болуы мүмкін, бірақ әлі де ғылым докторы біліктілігін беруге жол бермейді;</w:t>
      </w:r>
    </w:p>
    <w:bookmarkEnd w:id="21"/>
    <w:bookmarkStart w:name="z24" w:id="22"/>
    <w:p>
      <w:pPr>
        <w:spacing w:after="0"/>
        <w:ind w:left="0"/>
        <w:jc w:val="both"/>
      </w:pPr>
      <w:r>
        <w:rPr>
          <w:rFonts w:ascii="Times New Roman"/>
          <w:b w:val="false"/>
          <w:i w:val="false"/>
          <w:color w:val="000000"/>
          <w:sz w:val="28"/>
        </w:rPr>
        <w:t>
      10) ББЖХС-8 деңгейі – докторантура немесе оның баламасы, ең алдымен, ғылыми зерттеулер саласындағы озық біліктілікке келтіру үшін әзірленген. Осы деңгейіндегі бағдарламалар терең және тәуелсіз зерттеулерге арналған және әдетте тек ғылыми-зерттеу университеттері сияқты үшіншілік деңгейлі оқу орындарында ұсынылады;</w:t>
      </w:r>
    </w:p>
    <w:bookmarkEnd w:id="22"/>
    <w:bookmarkStart w:name="z25" w:id="23"/>
    <w:p>
      <w:pPr>
        <w:spacing w:after="0"/>
        <w:ind w:left="0"/>
        <w:jc w:val="both"/>
      </w:pPr>
      <w:r>
        <w:rPr>
          <w:rFonts w:ascii="Times New Roman"/>
          <w:b w:val="false"/>
          <w:i w:val="false"/>
          <w:color w:val="000000"/>
          <w:sz w:val="28"/>
        </w:rPr>
        <w:t>
      3. Жалпымемлекеттік статистикалық байқаулардың статистикалық нысандары, білім беру саласындағы уәкілетті мемлекеттік органдардың әкімшілік деректері білім беру процесі және халықтың білім деңгейі туралы ақпарат көздері болып табылады.</w:t>
      </w:r>
    </w:p>
    <w:bookmarkEnd w:id="23"/>
    <w:bookmarkStart w:name="z26" w:id="24"/>
    <w:p>
      <w:pPr>
        <w:spacing w:after="0"/>
        <w:ind w:left="0"/>
        <w:jc w:val="left"/>
      </w:pPr>
      <w:r>
        <w:rPr>
          <w:rFonts w:ascii="Times New Roman"/>
          <w:b/>
          <w:i w:val="false"/>
          <w:color w:val="000000"/>
        </w:rPr>
        <w:t xml:space="preserve"> 2-тарау. Білім беру деңгейлері бойынша негізгі көрсеткіштерді есептеу 1-параграф. Бір оқу орнына оқушылардың орташа санын есептеу</w:t>
      </w:r>
    </w:p>
    <w:bookmarkEnd w:id="24"/>
    <w:bookmarkStart w:name="z27" w:id="25"/>
    <w:p>
      <w:pPr>
        <w:spacing w:after="0"/>
        <w:ind w:left="0"/>
        <w:jc w:val="both"/>
      </w:pPr>
      <w:r>
        <w:rPr>
          <w:rFonts w:ascii="Times New Roman"/>
          <w:b w:val="false"/>
          <w:i w:val="false"/>
          <w:color w:val="000000"/>
          <w:sz w:val="28"/>
        </w:rPr>
        <w:t>
      4. Аталған көрсеткіштің мақсаты елдегі оқу орындарының аумақтық бөлінісінің әркелкілік деңгейін – оқушы орындарын жетіспеушілігін артық болуын анықтау болып табылады. Аталған индикатор мектепке дейінгі білім беруден техникалық және кәсіптік білім беруге дейінгі деңгейлер бойынша есептеледі. Әсіресе бұл индикатор ауылдық жерлердегі оқу орындарының жобалық қуаттылығы қажеттілігін анықтау үшін қажет.</w:t>
      </w:r>
    </w:p>
    <w:bookmarkEnd w:id="25"/>
    <w:bookmarkStart w:name="z28" w:id="26"/>
    <w:p>
      <w:pPr>
        <w:spacing w:after="0"/>
        <w:ind w:left="0"/>
        <w:jc w:val="both"/>
      </w:pPr>
      <w:r>
        <w:rPr>
          <w:rFonts w:ascii="Times New Roman"/>
          <w:b w:val="false"/>
          <w:i w:val="false"/>
          <w:color w:val="000000"/>
          <w:sz w:val="28"/>
        </w:rPr>
        <w:t>
      5. Есептеу әдіснамасы: білім беру мекемелерінің қуатты және пайдалану дәрежесі оқушылар саны мен орындар санының пайызы ретінде ББЖХС-0 – ББЖХС-5 бойынша білім беру деңгейіндегі білім беру мекемелеріндегі оқушылардың санын білім беру мекемелерінің жобалық қуатына (оқушылар орны) бөлу арқылы есептеледі.</w:t>
      </w:r>
    </w:p>
    <w:bookmarkEnd w:id="26"/>
    <w:p>
      <w:pPr>
        <w:spacing w:after="0"/>
        <w:ind w:left="0"/>
        <w:jc w:val="both"/>
      </w:pPr>
      <w:r>
        <w:rPr>
          <w:rFonts w:ascii="Times New Roman"/>
          <w:b w:val="false"/>
          <w:i w:val="false"/>
          <w:color w:val="000000"/>
          <w:sz w:val="28"/>
        </w:rPr>
        <w:t>
      Көрсеткіш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43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430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1800" cy="355600"/>
                    </a:xfrm>
                    <a:prstGeom prst="rect">
                      <a:avLst/>
                    </a:prstGeom>
                  </pic:spPr>
                </pic:pic>
              </a:graphicData>
            </a:graphic>
          </wp:inline>
        </w:drawing>
      </w:r>
    </w:p>
    <w:p>
      <w:pPr>
        <w:spacing w:after="0"/>
        <w:ind w:left="0"/>
        <w:jc w:val="left"/>
      </w:pPr>
      <w:r>
        <w:rPr>
          <w:rFonts w:ascii="Times New Roman"/>
          <w:b w:val="false"/>
          <w:i w:val="false"/>
          <w:color w:val="000000"/>
          <w:sz w:val="28"/>
        </w:rPr>
        <w:t>– бір оқу орнына келетін оқушылардың орташа саны;</w:t>
      </w:r>
      <w:r>
        <w:br/>
      </w:r>
      <w:r>
        <w:rPr>
          <w:rFonts w:ascii="Times New Roman"/>
          <w:b w:val="false"/>
          <w:i w:val="false"/>
          <w:color w:val="000000"/>
          <w:sz w:val="28"/>
        </w:rPr>
        <w:t>
</w:t>
      </w:r>
      <w:r>
        <w:br/>
      </w:r>
    </w:p>
    <w:p>
      <w:pPr>
        <w:spacing w:after="0"/>
        <w:ind w:left="0"/>
        <w:jc w:val="both"/>
      </w:pPr>
      <w:r>
        <w:drawing>
          <wp:inline distT="0" distB="0" distL="0" distR="0">
            <wp:extent cx="520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20700" cy="406400"/>
                    </a:xfrm>
                    <a:prstGeom prst="rect">
                      <a:avLst/>
                    </a:prstGeom>
                  </pic:spPr>
                </pic:pic>
              </a:graphicData>
            </a:graphic>
          </wp:inline>
        </w:drawing>
      </w:r>
    </w:p>
    <w:p>
      <w:pPr>
        <w:spacing w:after="0"/>
        <w:ind w:left="0"/>
        <w:jc w:val="left"/>
      </w:pPr>
      <w:r>
        <w:rPr>
          <w:rFonts w:ascii="Times New Roman"/>
          <w:b w:val="false"/>
          <w:i w:val="false"/>
          <w:color w:val="000000"/>
          <w:sz w:val="28"/>
        </w:rPr>
        <w:t>– ББЖХС бойынша аталған білім беру деңгейіндегі білім беру  мекемелеріндегі оқушылар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C1– білім беру мекемелерінің жобалық қуаты;</w:t>
      </w:r>
    </w:p>
    <w:p>
      <w:pPr>
        <w:spacing w:after="0"/>
        <w:ind w:left="0"/>
        <w:jc w:val="both"/>
      </w:pPr>
      <w:r>
        <w:rPr>
          <w:rFonts w:ascii="Times New Roman"/>
          <w:b w:val="false"/>
          <w:i w:val="false"/>
          <w:color w:val="000000"/>
          <w:sz w:val="28"/>
        </w:rPr>
        <w:t>
      1 – ББЖХС-2011 бөлінісіне сәйкес білім беру деңгейлері.</w:t>
      </w:r>
    </w:p>
    <w:bookmarkStart w:name="z29" w:id="27"/>
    <w:p>
      <w:pPr>
        <w:spacing w:after="0"/>
        <w:ind w:left="0"/>
        <w:jc w:val="left"/>
      </w:pPr>
      <w:r>
        <w:rPr>
          <w:rFonts w:ascii="Times New Roman"/>
          <w:b/>
          <w:i w:val="false"/>
          <w:color w:val="000000"/>
        </w:rPr>
        <w:t xml:space="preserve"> 2-параграф. Оқушылар мен оқытушылардың арақатынасы</w:t>
      </w:r>
    </w:p>
    <w:bookmarkEnd w:id="27"/>
    <w:bookmarkStart w:name="z30" w:id="28"/>
    <w:p>
      <w:pPr>
        <w:spacing w:after="0"/>
        <w:ind w:left="0"/>
        <w:jc w:val="both"/>
      </w:pPr>
      <w:r>
        <w:rPr>
          <w:rFonts w:ascii="Times New Roman"/>
          <w:b w:val="false"/>
          <w:i w:val="false"/>
          <w:color w:val="000000"/>
          <w:sz w:val="28"/>
        </w:rPr>
        <w:t>
      6. Осы көрсеткіштің мақсаты мектепке дейінгі мекемелердегі тәрбиешілер мен колледждердегі өндірістік оқыту шеберлерін қоса алғанда, ББЖХС-2011 сәйкес білім берудің барлық деңгейлері бойынша білім беру мекемелеріндегі оқытушылардың жетіспеушілік деңгейін айқындау болып табылады.</w:t>
      </w:r>
    </w:p>
    <w:bookmarkEnd w:id="28"/>
    <w:bookmarkStart w:name="z31" w:id="29"/>
    <w:p>
      <w:pPr>
        <w:spacing w:after="0"/>
        <w:ind w:left="0"/>
        <w:jc w:val="both"/>
      </w:pPr>
      <w:r>
        <w:rPr>
          <w:rFonts w:ascii="Times New Roman"/>
          <w:b w:val="false"/>
          <w:i w:val="false"/>
          <w:color w:val="000000"/>
          <w:sz w:val="28"/>
        </w:rPr>
        <w:t>
      7. Есептеу әдіснамасы осы білім беру деңгейіндегі оқушылар санының осы оқу жылындағы тиісті білім беру деңгейіндегі оқытушылар санына қатынасы ретінде айқындалады. Көрсеткішті есептеу кезінде оқытушылардың жұмыс уақытының ұзақтығын ескеру қажет: толық немесе толық емес жұмыс күні.</w:t>
      </w:r>
    </w:p>
    <w:bookmarkEnd w:id="29"/>
    <w:p>
      <w:pPr>
        <w:spacing w:after="0"/>
        <w:ind w:left="0"/>
        <w:jc w:val="both"/>
      </w:pPr>
      <w:r>
        <w:rPr>
          <w:rFonts w:ascii="Times New Roman"/>
          <w:b w:val="false"/>
          <w:i w:val="false"/>
          <w:color w:val="000000"/>
          <w:sz w:val="28"/>
        </w:rPr>
        <w:t xml:space="preserve">
      Оқушылар мен оқытушылардың арақатынасы көрсеткіші келесі формула бойынша есептеледі: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557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557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06400" cy="444500"/>
                    </a:xfrm>
                    <a:prstGeom prst="rect">
                      <a:avLst/>
                    </a:prstGeom>
                  </pic:spPr>
                </pic:pic>
              </a:graphicData>
            </a:graphic>
          </wp:inline>
        </w:drawing>
      </w:r>
    </w:p>
    <w:p>
      <w:pPr>
        <w:spacing w:after="0"/>
        <w:ind w:left="0"/>
        <w:jc w:val="left"/>
      </w:pPr>
      <w:r>
        <w:rPr>
          <w:rFonts w:ascii="Times New Roman"/>
          <w:b w:val="false"/>
          <w:i w:val="false"/>
          <w:color w:val="000000"/>
          <w:sz w:val="28"/>
        </w:rPr>
        <w:t>– t оқу жылындағы l білім деңгейіндегі оқушылар мен оқытушылардың арақатынасы;</w:t>
      </w:r>
      <w:r>
        <w:br/>
      </w:r>
      <w:r>
        <w:rPr>
          <w:rFonts w:ascii="Times New Roman"/>
          <w:b w:val="false"/>
          <w:i w:val="false"/>
          <w:color w:val="000000"/>
          <w:sz w:val="28"/>
        </w:rPr>
        <w:t>
</w:t>
      </w:r>
      <w:r>
        <w:br/>
      </w:r>
    </w:p>
    <w:p>
      <w:pPr>
        <w:spacing w:after="0"/>
        <w:ind w:left="0"/>
        <w:jc w:val="both"/>
      </w:pPr>
      <w:r>
        <w:drawing>
          <wp:inline distT="0" distB="0" distL="0" distR="0">
            <wp:extent cx="533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3400" cy="431800"/>
                    </a:xfrm>
                    <a:prstGeom prst="rect">
                      <a:avLst/>
                    </a:prstGeom>
                  </pic:spPr>
                </pic:pic>
              </a:graphicData>
            </a:graphic>
          </wp:inline>
        </w:drawing>
      </w:r>
    </w:p>
    <w:p>
      <w:pPr>
        <w:spacing w:after="0"/>
        <w:ind w:left="0"/>
        <w:jc w:val="left"/>
      </w:pPr>
      <w:r>
        <w:rPr>
          <w:rFonts w:ascii="Times New Roman"/>
          <w:b w:val="false"/>
          <w:i w:val="false"/>
          <w:color w:val="000000"/>
          <w:sz w:val="28"/>
        </w:rPr>
        <w:t>– t оқу жылындағы l білім деңгейіндегі оқушылардың жалпы саны;</w:t>
      </w:r>
      <w:r>
        <w:br/>
      </w:r>
      <w:r>
        <w:rPr>
          <w:rFonts w:ascii="Times New Roman"/>
          <w:b w:val="false"/>
          <w:i w:val="false"/>
          <w:color w:val="000000"/>
          <w:sz w:val="28"/>
        </w:rPr>
        <w:t>
</w:t>
      </w:r>
      <w:r>
        <w:br/>
      </w:r>
    </w:p>
    <w:p>
      <w:pPr>
        <w:spacing w:after="0"/>
        <w:ind w:left="0"/>
        <w:jc w:val="both"/>
      </w:pPr>
      <w:r>
        <w:drawing>
          <wp:inline distT="0" distB="0" distL="0" distR="0">
            <wp:extent cx="596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96900" cy="431800"/>
                    </a:xfrm>
                    <a:prstGeom prst="rect">
                      <a:avLst/>
                    </a:prstGeom>
                  </pic:spPr>
                </pic:pic>
              </a:graphicData>
            </a:graphic>
          </wp:inline>
        </w:drawing>
      </w:r>
    </w:p>
    <w:p>
      <w:pPr>
        <w:spacing w:after="0"/>
        <w:ind w:left="0"/>
        <w:jc w:val="left"/>
      </w:pPr>
      <w:r>
        <w:rPr>
          <w:rFonts w:ascii="Times New Roman"/>
          <w:b w:val="false"/>
          <w:i w:val="false"/>
          <w:color w:val="000000"/>
          <w:sz w:val="28"/>
        </w:rPr>
        <w:t>– t оқу жылындағы l білім деңгейіндегі жұмыс жүктемесін есепке   алумен оқытушылардың жалпы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ББЖХС-2011 бөлуге сәйкес білім беру деңгейлері;</w:t>
      </w:r>
    </w:p>
    <w:p>
      <w:pPr>
        <w:spacing w:after="0"/>
        <w:ind w:left="0"/>
        <w:jc w:val="both"/>
      </w:pPr>
      <w:r>
        <w:rPr>
          <w:rFonts w:ascii="Times New Roman"/>
          <w:b w:val="false"/>
          <w:i w:val="false"/>
          <w:color w:val="000000"/>
          <w:sz w:val="28"/>
        </w:rPr>
        <w:t>
      t – оқу жылы.</w:t>
      </w:r>
    </w:p>
    <w:bookmarkStart w:name="z32" w:id="30"/>
    <w:p>
      <w:pPr>
        <w:spacing w:after="0"/>
        <w:ind w:left="0"/>
        <w:jc w:val="both"/>
      </w:pPr>
      <w:r>
        <w:rPr>
          <w:rFonts w:ascii="Times New Roman"/>
          <w:b w:val="false"/>
          <w:i w:val="false"/>
          <w:color w:val="000000"/>
          <w:sz w:val="28"/>
        </w:rPr>
        <w:t>
      8. ББЖХС-0 деңгейі (кіші жастағы балалардың білім алуы) маусымдық болу балалар бақшасында жұмыс істейтін тәрбиешілерсіз, жұмыс жүктемесі күніне кемінде 2 сағат және бағдарламаның ұзақтығы жылына кемінде күнтізбелік 100 күн болатын білім беру қызметімен айналысатын тәрбиешілер енгізіледі;</w:t>
      </w:r>
    </w:p>
    <w:bookmarkEnd w:id="30"/>
    <w:p>
      <w:pPr>
        <w:spacing w:after="0"/>
        <w:ind w:left="0"/>
        <w:jc w:val="both"/>
      </w:pPr>
      <w:r>
        <w:rPr>
          <w:rFonts w:ascii="Times New Roman"/>
          <w:b w:val="false"/>
          <w:i w:val="false"/>
          <w:color w:val="000000"/>
          <w:sz w:val="28"/>
        </w:rPr>
        <w:t>
      ББЖХС-1 деңгейіне бастауыш сыныптарда (1-4 сынып) жұмыс істейтін мұғалімдер саны кіреді. Егер персонал ББЖХС -ның бір ғана деңгейіне тартылған болса, онда көрсеткішті есептеу кезінде жұмыс жүктемесі 100% ретінде есептеледі;</w:t>
      </w:r>
    </w:p>
    <w:p>
      <w:pPr>
        <w:spacing w:after="0"/>
        <w:ind w:left="0"/>
        <w:jc w:val="both"/>
      </w:pPr>
      <w:r>
        <w:rPr>
          <w:rFonts w:ascii="Times New Roman"/>
          <w:b w:val="false"/>
          <w:i w:val="false"/>
          <w:color w:val="000000"/>
          <w:sz w:val="28"/>
        </w:rPr>
        <w:t>
      ББЖХС-2 – ББЖХС-8 деңгейлері. Қолда бар деректер оқытушы ББЖХС-ның әртүрлі деңгейлерінде жұмыс істеуіне байланысты оқушылар мен оқытушылардың арақатынасын әрбір деңгей үшін жеке есептеуге мүмкіндік бермейді. Педагог персоналының ішінара жұмыспен қамтылуы кезінде 0,5 коэффициенті пайдаланылады.</w:t>
      </w:r>
    </w:p>
    <w:bookmarkStart w:name="z33" w:id="31"/>
    <w:p>
      <w:pPr>
        <w:spacing w:after="0"/>
        <w:ind w:left="0"/>
        <w:jc w:val="left"/>
      </w:pPr>
      <w:r>
        <w:rPr>
          <w:rFonts w:ascii="Times New Roman"/>
          <w:b/>
          <w:i w:val="false"/>
          <w:color w:val="000000"/>
        </w:rPr>
        <w:t xml:space="preserve"> 3-параграф. Қабылдау коэффициенті</w:t>
      </w:r>
    </w:p>
    <w:bookmarkEnd w:id="31"/>
    <w:bookmarkStart w:name="z34" w:id="32"/>
    <w:p>
      <w:pPr>
        <w:spacing w:after="0"/>
        <w:ind w:left="0"/>
        <w:jc w:val="both"/>
      </w:pPr>
      <w:r>
        <w:rPr>
          <w:rFonts w:ascii="Times New Roman"/>
          <w:b w:val="false"/>
          <w:i w:val="false"/>
          <w:color w:val="000000"/>
          <w:sz w:val="28"/>
        </w:rPr>
        <w:t>
      9. Бұл көрсеткіш халықтың тиісті тобының санынан осы білім деңгейі үшін ресми белгіленген жас тобында оқуға қабылданған оқушылардың үлесін білдіреді.</w:t>
      </w:r>
    </w:p>
    <w:bookmarkEnd w:id="32"/>
    <w:bookmarkStart w:name="z35" w:id="33"/>
    <w:p>
      <w:pPr>
        <w:spacing w:after="0"/>
        <w:ind w:left="0"/>
        <w:jc w:val="both"/>
      </w:pPr>
      <w:r>
        <w:rPr>
          <w:rFonts w:ascii="Times New Roman"/>
          <w:b w:val="false"/>
          <w:i w:val="false"/>
          <w:color w:val="000000"/>
          <w:sz w:val="28"/>
        </w:rPr>
        <w:t>
      10. Қабылдау коэффициенті білім берудің осы деңгейіндегі білім беру мекемелеріне оқуға қабылданғандар санының білім берудің осы деңгейі үшін ресми белгіленген жас тобындағы халық санына пайызбен көрсетілген қатынасы ретінде есептеледі.</w:t>
      </w:r>
    </w:p>
    <w:bookmarkEnd w:id="33"/>
    <w:p>
      <w:pPr>
        <w:spacing w:after="0"/>
        <w:ind w:left="0"/>
        <w:jc w:val="both"/>
      </w:pPr>
      <w:r>
        <w:rPr>
          <w:rFonts w:ascii="Times New Roman"/>
          <w:b w:val="false"/>
          <w:i w:val="false"/>
          <w:color w:val="000000"/>
          <w:sz w:val="28"/>
        </w:rPr>
        <w:t>
      Көрсеткіш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685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685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318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ББЖХС-2011 бойынша білім берудің осы деңгейіндегі қабылдау  коэффициенті;  </w:t>
      </w:r>
    </w:p>
    <w:p>
      <w:pPr>
        <w:spacing w:after="0"/>
        <w:ind w:left="0"/>
        <w:jc w:val="both"/>
      </w:pPr>
      <w:r>
        <w:drawing>
          <wp:inline distT="0" distB="0" distL="0" distR="0">
            <wp:extent cx="584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842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ББЖХС-2011 бөлінісіне сәйкес білім берудің осы деңгейі үшін   ресми белгіленген жас тобындағы осы деңгейдегі бағдарламаларға   қабылданған оқушылар саны;  </w:t>
      </w:r>
    </w:p>
    <w:p>
      <w:pPr>
        <w:spacing w:after="0"/>
        <w:ind w:left="0"/>
        <w:jc w:val="both"/>
      </w:pPr>
      <w:r>
        <w:drawing>
          <wp:inline distT="0" distB="0" distL="0" distR="0">
            <wp:extent cx="571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71500" cy="406400"/>
                    </a:xfrm>
                    <a:prstGeom prst="rect">
                      <a:avLst/>
                    </a:prstGeom>
                  </pic:spPr>
                </pic:pic>
              </a:graphicData>
            </a:graphic>
          </wp:inline>
        </w:drawing>
      </w:r>
    </w:p>
    <w:p>
      <w:pPr>
        <w:spacing w:after="0"/>
        <w:ind w:left="0"/>
        <w:jc w:val="left"/>
      </w:pPr>
      <w:r>
        <w:rPr>
          <w:rFonts w:ascii="Times New Roman"/>
          <w:b w:val="false"/>
          <w:i w:val="false"/>
          <w:color w:val="000000"/>
          <w:sz w:val="28"/>
        </w:rPr>
        <w:t>– берілген білім деңгейі үшін ресми белгіленген жас тобындағы халық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ББЖХС-2011 бөлінуіне сәйкес білім беру деңгейлері;</w:t>
      </w:r>
    </w:p>
    <w:p>
      <w:pPr>
        <w:spacing w:after="0"/>
        <w:ind w:left="0"/>
        <w:jc w:val="both"/>
      </w:pPr>
      <w:r>
        <w:rPr>
          <w:rFonts w:ascii="Times New Roman"/>
          <w:b w:val="false"/>
          <w:i w:val="false"/>
          <w:color w:val="000000"/>
          <w:sz w:val="28"/>
        </w:rPr>
        <w:t>
      a – ББЖХС-2011 деңгейіне сәйкес келетін жас топтары.</w:t>
      </w:r>
    </w:p>
    <w:bookmarkStart w:name="z36" w:id="34"/>
    <w:p>
      <w:pPr>
        <w:spacing w:after="0"/>
        <w:ind w:left="0"/>
        <w:jc w:val="left"/>
      </w:pPr>
      <w:r>
        <w:rPr>
          <w:rFonts w:ascii="Times New Roman"/>
          <w:b/>
          <w:i w:val="false"/>
          <w:color w:val="000000"/>
        </w:rPr>
        <w:t xml:space="preserve"> 4-параграф. Қамтудың коэффициенті</w:t>
      </w:r>
    </w:p>
    <w:bookmarkEnd w:id="34"/>
    <w:bookmarkStart w:name="z37" w:id="35"/>
    <w:p>
      <w:pPr>
        <w:spacing w:after="0"/>
        <w:ind w:left="0"/>
        <w:jc w:val="both"/>
      </w:pPr>
      <w:r>
        <w:rPr>
          <w:rFonts w:ascii="Times New Roman"/>
          <w:b w:val="false"/>
          <w:i w:val="false"/>
          <w:color w:val="000000"/>
          <w:sz w:val="28"/>
        </w:rPr>
        <w:t>
      11. Осы көрсеткіштің мақсаты білім берудің осы деңгейіне сәйкес келетін жас тобына жататын балалар мен жастардың білім берудің осы деңгейінде оқыту процесіне қатысу дәрежесін айқындау болып табылады. Білім берудің әрбір деңгейінде қамтудың таза коэффициенті тиісті оқу бағдарламалары бойынша білім беру қызметін көрсететін мемлекеттік, жеке меншік оқу орындарын қоса алғанда, мектептердің, колледждердің, жоғары оқу орындарының тіркеу туралы толық мәліметтерге негізделеді.</w:t>
      </w:r>
    </w:p>
    <w:bookmarkEnd w:id="35"/>
    <w:bookmarkStart w:name="z38" w:id="36"/>
    <w:p>
      <w:pPr>
        <w:spacing w:after="0"/>
        <w:ind w:left="0"/>
        <w:jc w:val="both"/>
      </w:pPr>
      <w:r>
        <w:rPr>
          <w:rFonts w:ascii="Times New Roman"/>
          <w:b w:val="false"/>
          <w:i w:val="false"/>
          <w:color w:val="000000"/>
          <w:sz w:val="28"/>
        </w:rPr>
        <w:t>
      12. Қамтудың таза коэффициенті халықтың тиісті тобының санынан пайызбен көрсетілген білім берудің осы деңгейі үшін ресми белгіленген жас тобындағы оқушылардың үлесін білдіреді. Осы білім беру деңгейі үшін ресми белгіленген жас тобындағы оқушылардың (студенттердің) жалпы санын сол жас тобындағы халық санына бөлу және 100-ге көбейту арқылы есептеледі.</w:t>
      </w:r>
    </w:p>
    <w:bookmarkEnd w:id="36"/>
    <w:p>
      <w:pPr>
        <w:spacing w:after="0"/>
        <w:ind w:left="0"/>
        <w:jc w:val="both"/>
      </w:pPr>
      <w:r>
        <w:rPr>
          <w:rFonts w:ascii="Times New Roman"/>
          <w:b w:val="false"/>
          <w:i w:val="false"/>
          <w:color w:val="000000"/>
          <w:sz w:val="28"/>
        </w:rPr>
        <w:t>
      Көрсеткіш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796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8796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191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ББЖХС-2011 бойынша білім берудің осы деңгейіндегі таза қамту   коэффициенті;  </w:t>
      </w:r>
    </w:p>
    <w:p>
      <w:pPr>
        <w:spacing w:after="0"/>
        <w:ind w:left="0"/>
        <w:jc w:val="both"/>
      </w:pPr>
      <w:r>
        <w:drawing>
          <wp:inline distT="0" distB="0" distL="0" distR="0">
            <wp:extent cx="520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20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ББЖХС-2011 бөлінісіне сәйкес білім берудің осы деңгейі үшін ресми   белгіленген жас тобындағы осы деңгейдегі бағдарламаларға қабылданған  оқушылар саны;  </w:t>
      </w:r>
    </w:p>
    <w:p>
      <w:pPr>
        <w:spacing w:after="0"/>
        <w:ind w:left="0"/>
        <w:jc w:val="both"/>
      </w:pPr>
      <w:r>
        <w:drawing>
          <wp:inline distT="0" distB="0" distL="0" distR="0">
            <wp:extent cx="533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33400" cy="431800"/>
                    </a:xfrm>
                    <a:prstGeom prst="rect">
                      <a:avLst/>
                    </a:prstGeom>
                  </pic:spPr>
                </pic:pic>
              </a:graphicData>
            </a:graphic>
          </wp:inline>
        </w:drawing>
      </w:r>
    </w:p>
    <w:p>
      <w:pPr>
        <w:spacing w:after="0"/>
        <w:ind w:left="0"/>
        <w:jc w:val="left"/>
      </w:pPr>
      <w:r>
        <w:rPr>
          <w:rFonts w:ascii="Times New Roman"/>
          <w:b w:val="false"/>
          <w:i w:val="false"/>
          <w:color w:val="000000"/>
          <w:sz w:val="28"/>
        </w:rPr>
        <w:t>– аталған білім беру деңгейі үшін ресми түрде белгіленген жас  тобындағы халық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ББЖХС -2011 бөлінуіне сәйкес білім беру деңгейлері;</w:t>
      </w:r>
    </w:p>
    <w:p>
      <w:pPr>
        <w:spacing w:after="0"/>
        <w:ind w:left="0"/>
        <w:jc w:val="both"/>
      </w:pPr>
      <w:r>
        <w:rPr>
          <w:rFonts w:ascii="Times New Roman"/>
          <w:b w:val="false"/>
          <w:i w:val="false"/>
          <w:color w:val="000000"/>
          <w:sz w:val="28"/>
        </w:rPr>
        <w:t>
      a – ББЖХС-2011 деңгейіне сәйкес келетін жас топтары.</w:t>
      </w:r>
    </w:p>
    <w:bookmarkStart w:name="z39" w:id="37"/>
    <w:p>
      <w:pPr>
        <w:spacing w:after="0"/>
        <w:ind w:left="0"/>
        <w:jc w:val="left"/>
      </w:pPr>
      <w:r>
        <w:rPr>
          <w:rFonts w:ascii="Times New Roman"/>
          <w:b/>
          <w:i w:val="false"/>
          <w:color w:val="000000"/>
        </w:rPr>
        <w:t xml:space="preserve"> 5-параграф. Қамтудың жалпы коэффициенті</w:t>
      </w:r>
    </w:p>
    <w:bookmarkEnd w:id="37"/>
    <w:bookmarkStart w:name="z40" w:id="38"/>
    <w:p>
      <w:pPr>
        <w:spacing w:after="0"/>
        <w:ind w:left="0"/>
        <w:jc w:val="both"/>
      </w:pPr>
      <w:r>
        <w:rPr>
          <w:rFonts w:ascii="Times New Roman"/>
          <w:b w:val="false"/>
          <w:i w:val="false"/>
          <w:color w:val="000000"/>
          <w:sz w:val="28"/>
        </w:rPr>
        <w:t xml:space="preserve">
      13. Бұл көрсеткіш білім беру жүйесінің белгілі бір жас тобындағы оқушыларды қамту қабілетін көрсетеді. Қамтудың жалпы коэффициенті осы оқу деңгейіне сәйкес жас санатынан жоғары немесе төмен оқушылардың қамтылу деңгейін көрсете отырып, қамтудың таза коэффициентін толықтырады. </w:t>
      </w:r>
    </w:p>
    <w:bookmarkEnd w:id="38"/>
    <w:p>
      <w:pPr>
        <w:spacing w:after="0"/>
        <w:ind w:left="0"/>
        <w:jc w:val="both"/>
      </w:pPr>
      <w:r>
        <w:rPr>
          <w:rFonts w:ascii="Times New Roman"/>
          <w:b w:val="false"/>
          <w:i w:val="false"/>
          <w:color w:val="000000"/>
          <w:sz w:val="28"/>
        </w:rPr>
        <w:t>
      Қамтудың жалпы коэффициенті осы жас тобындағы білім берудің осы деңгейі үшін халықаралық стандарттарда белгіленген халық санының пайызымен көрсетілген білім берудің белгілі бір деңгейіндегі оқушылардың (жасына қарамастан) үлесін білдіреді.</w:t>
      </w:r>
    </w:p>
    <w:bookmarkStart w:name="z41" w:id="39"/>
    <w:p>
      <w:pPr>
        <w:spacing w:after="0"/>
        <w:ind w:left="0"/>
        <w:jc w:val="both"/>
      </w:pPr>
      <w:r>
        <w:rPr>
          <w:rFonts w:ascii="Times New Roman"/>
          <w:b w:val="false"/>
          <w:i w:val="false"/>
          <w:color w:val="000000"/>
          <w:sz w:val="28"/>
        </w:rPr>
        <w:t>
      14. Үшіншілік білім беру үшін жас тобы орта білімнің екінші кезеңін аяқтаудың теориялық жасы басталғаннан кейінгі бес жылдық кезеңге сәйкес келеді. Жасына қарамастан белгілі бір білім беру деңгейіндегі оқушылардың (студенттердің) жалпы санын осы білім беру деңгейі үшін ресми белгіленген жас тобындағы халық санына бөлу арқылы есептеледі және 100-ге көбейтіледі.</w:t>
      </w:r>
    </w:p>
    <w:bookmarkEnd w:id="39"/>
    <w:p>
      <w:pPr>
        <w:spacing w:after="0"/>
        <w:ind w:left="0"/>
        <w:jc w:val="both"/>
      </w:pPr>
      <w:r>
        <w:rPr>
          <w:rFonts w:ascii="Times New Roman"/>
          <w:b w:val="false"/>
          <w:i w:val="false"/>
          <w:color w:val="000000"/>
          <w:sz w:val="28"/>
        </w:rPr>
        <w:t>
      Көрсеткіш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28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8288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xml:space="preserve">
      K1– ББЖХС-2011 бойынша білім берудің осы деңгейіндегі қамтудың  жалпы коэффициенті;  </w:t>
      </w:r>
    </w:p>
    <w:p>
      <w:pPr>
        <w:spacing w:after="0"/>
        <w:ind w:left="0"/>
        <w:jc w:val="both"/>
      </w:pPr>
      <w:r>
        <w:drawing>
          <wp:inline distT="0" distB="0" distL="0" distR="0">
            <wp:extent cx="482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826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жасына қарамастан ББЖХС осы деңгейінің бағдарламаларына  қабылданған оқушылар саны;  </w:t>
      </w:r>
    </w:p>
    <w:p>
      <w:pPr>
        <w:spacing w:after="0"/>
        <w:ind w:left="0"/>
        <w:jc w:val="both"/>
      </w:pPr>
      <w:r>
        <w:drawing>
          <wp:inline distT="0" distB="0" distL="0" distR="0">
            <wp:extent cx="558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58800" cy="482600"/>
                    </a:xfrm>
                    <a:prstGeom prst="rect">
                      <a:avLst/>
                    </a:prstGeom>
                  </pic:spPr>
                </pic:pic>
              </a:graphicData>
            </a:graphic>
          </wp:inline>
        </w:drawing>
      </w:r>
    </w:p>
    <w:p>
      <w:pPr>
        <w:spacing w:after="0"/>
        <w:ind w:left="0"/>
        <w:jc w:val="left"/>
      </w:pPr>
      <w:r>
        <w:rPr>
          <w:rFonts w:ascii="Times New Roman"/>
          <w:b w:val="false"/>
          <w:i w:val="false"/>
          <w:color w:val="000000"/>
          <w:sz w:val="28"/>
        </w:rPr>
        <w:t>– белгілі бір білім деңгейі үшін ресми түрде құрылған жас тобындағы  халық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ББЖХС-2011 бөлінісіне сәйкес білім беру деңгейлері;</w:t>
      </w:r>
    </w:p>
    <w:p>
      <w:pPr>
        <w:spacing w:after="0"/>
        <w:ind w:left="0"/>
        <w:jc w:val="both"/>
      </w:pPr>
      <w:r>
        <w:rPr>
          <w:rFonts w:ascii="Times New Roman"/>
          <w:b w:val="false"/>
          <w:i w:val="false"/>
          <w:color w:val="000000"/>
          <w:sz w:val="28"/>
        </w:rPr>
        <w:t>
      a – ББЖХС-2011 деңгейіне сәйкес келетін жас топтары.</w:t>
      </w:r>
    </w:p>
    <w:bookmarkStart w:name="z42" w:id="40"/>
    <w:p>
      <w:pPr>
        <w:spacing w:after="0"/>
        <w:ind w:left="0"/>
        <w:jc w:val="left"/>
      </w:pPr>
      <w:r>
        <w:rPr>
          <w:rFonts w:ascii="Times New Roman"/>
          <w:b/>
          <w:i w:val="false"/>
          <w:color w:val="000000"/>
        </w:rPr>
        <w:t xml:space="preserve"> 6-параграф. Білім беру және оқыту жүйесінен шығу коэффициенті</w:t>
      </w:r>
    </w:p>
    <w:bookmarkEnd w:id="40"/>
    <w:bookmarkStart w:name="z43" w:id="41"/>
    <w:p>
      <w:pPr>
        <w:spacing w:after="0"/>
        <w:ind w:left="0"/>
        <w:jc w:val="both"/>
      </w:pPr>
      <w:r>
        <w:rPr>
          <w:rFonts w:ascii="Times New Roman"/>
          <w:b w:val="false"/>
          <w:i w:val="false"/>
          <w:color w:val="000000"/>
          <w:sz w:val="28"/>
        </w:rPr>
        <w:t>
      15. Осы көрсеткіштің мақсаты тиісті біліктілікті (диплом, аттестат) алмай, білім беру жүйесінен шыққан оқушылар санын анықтау болып табылады.</w:t>
      </w:r>
    </w:p>
    <w:bookmarkEnd w:id="41"/>
    <w:bookmarkStart w:name="z44" w:id="42"/>
    <w:p>
      <w:pPr>
        <w:spacing w:after="0"/>
        <w:ind w:left="0"/>
        <w:jc w:val="both"/>
      </w:pPr>
      <w:r>
        <w:rPr>
          <w:rFonts w:ascii="Times New Roman"/>
          <w:b w:val="false"/>
          <w:i w:val="false"/>
          <w:color w:val="000000"/>
          <w:sz w:val="28"/>
        </w:rPr>
        <w:t xml:space="preserve">
      16. Есептеу әдіснамасы осы оқу жылында оқу орнына белгілі бір білім беру бағдарламасына қабылданған, бірақ келесі оқу жылының басында осы оқу орнына бармайтын оқушылардың (түлектерді қоспағанда) үлесі ретінде айқындалады. </w:t>
      </w:r>
    </w:p>
    <w:bookmarkEnd w:id="42"/>
    <w:p>
      <w:pPr>
        <w:spacing w:after="0"/>
        <w:ind w:left="0"/>
        <w:jc w:val="both"/>
      </w:pPr>
      <w:r>
        <w:rPr>
          <w:rFonts w:ascii="Times New Roman"/>
          <w:b w:val="false"/>
          <w:i w:val="false"/>
          <w:color w:val="000000"/>
          <w:sz w:val="28"/>
        </w:rPr>
        <w:t>
      Көрсеткіш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274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274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1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81000" cy="469900"/>
                    </a:xfrm>
                    <a:prstGeom prst="rect">
                      <a:avLst/>
                    </a:prstGeom>
                  </pic:spPr>
                </pic:pic>
              </a:graphicData>
            </a:graphic>
          </wp:inline>
        </w:drawing>
      </w:r>
    </w:p>
    <w:p>
      <w:pPr>
        <w:spacing w:after="0"/>
        <w:ind w:left="0"/>
        <w:jc w:val="left"/>
      </w:pPr>
      <w:r>
        <w:rPr>
          <w:rFonts w:ascii="Times New Roman"/>
          <w:b w:val="false"/>
          <w:i w:val="false"/>
          <w:color w:val="000000"/>
          <w:sz w:val="28"/>
        </w:rPr>
        <w:t>– білім беру және оқыту жүйесінен шығу коэффиценті;</w:t>
      </w:r>
      <w:r>
        <w:br/>
      </w:r>
      <w:r>
        <w:rPr>
          <w:rFonts w:ascii="Times New Roman"/>
          <w:b w:val="false"/>
          <w:i w:val="false"/>
          <w:color w:val="000000"/>
          <w:sz w:val="28"/>
        </w:rPr>
        <w:t>
</w:t>
      </w:r>
      <w:r>
        <w:br/>
      </w:r>
    </w:p>
    <w:p>
      <w:pPr>
        <w:spacing w:after="0"/>
        <w:ind w:left="0"/>
        <w:jc w:val="both"/>
      </w:pPr>
      <w:r>
        <w:drawing>
          <wp:inline distT="0" distB="0" distL="0" distR="0">
            <wp:extent cx="508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080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ББЖХС-2011 тиісті деңгейінен оқу жылының соңына шыққан   оқушылар саны;  </w:t>
      </w:r>
    </w:p>
    <w:p>
      <w:pPr>
        <w:spacing w:after="0"/>
        <w:ind w:left="0"/>
        <w:jc w:val="both"/>
      </w:pPr>
      <w:r>
        <w:drawing>
          <wp:inline distT="0" distB="0" distL="0" distR="0">
            <wp:extent cx="495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953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алдыңғы оқу жылында ББЖХС-2011 тиісті деңгейінде  оқитындардың жалпы саны;  </w:t>
      </w:r>
    </w:p>
    <w:p>
      <w:pPr>
        <w:spacing w:after="0"/>
        <w:ind w:left="0"/>
        <w:jc w:val="both"/>
      </w:pPr>
      <w:r>
        <w:drawing>
          <wp:inline distT="0" distB="0" distL="0" distR="0">
            <wp:extent cx="533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33400" cy="419100"/>
                    </a:xfrm>
                    <a:prstGeom prst="rect">
                      <a:avLst/>
                    </a:prstGeom>
                  </pic:spPr>
                </pic:pic>
              </a:graphicData>
            </a:graphic>
          </wp:inline>
        </w:drawing>
      </w:r>
    </w:p>
    <w:p>
      <w:pPr>
        <w:spacing w:after="0"/>
        <w:ind w:left="0"/>
        <w:jc w:val="left"/>
      </w:pPr>
      <w:r>
        <w:rPr>
          <w:rFonts w:ascii="Times New Roman"/>
          <w:b w:val="false"/>
          <w:i w:val="false"/>
          <w:color w:val="000000"/>
          <w:sz w:val="28"/>
        </w:rPr>
        <w:t>– ББЖХС-2011 тиісті деңгейін бітірген, t-1 және t оқу жылдары   арасындағы түлектер саны;</w:t>
      </w:r>
      <w:r>
        <w:br/>
      </w:r>
      <w:r>
        <w:rPr>
          <w:rFonts w:ascii="Times New Roman"/>
          <w:b w:val="false"/>
          <w:i w:val="false"/>
          <w:color w:val="000000"/>
          <w:sz w:val="28"/>
        </w:rPr>
        <w:t>
</w:t>
      </w:r>
      <w:r>
        <w:br/>
      </w:r>
    </w:p>
    <w:p>
      <w:pPr>
        <w:spacing w:after="0"/>
        <w:ind w:left="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82600" cy="406400"/>
                    </a:xfrm>
                    <a:prstGeom prst="rect">
                      <a:avLst/>
                    </a:prstGeom>
                  </pic:spPr>
                </pic:pic>
              </a:graphicData>
            </a:graphic>
          </wp:inline>
        </w:drawing>
      </w:r>
    </w:p>
    <w:p>
      <w:pPr>
        <w:spacing w:after="0"/>
        <w:ind w:left="0"/>
        <w:jc w:val="left"/>
      </w:pPr>
      <w:r>
        <w:rPr>
          <w:rFonts w:ascii="Times New Roman"/>
          <w:b w:val="false"/>
          <w:i w:val="false"/>
          <w:color w:val="000000"/>
          <w:sz w:val="28"/>
        </w:rPr>
        <w:t>– ББЖХС-2011 тиісті деңгейінің екінші жылдық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ББЖХС-2011 бөлінісіне сәйкес білім беру деңгейлері;</w:t>
      </w:r>
    </w:p>
    <w:p>
      <w:pPr>
        <w:spacing w:after="0"/>
        <w:ind w:left="0"/>
        <w:jc w:val="both"/>
      </w:pPr>
      <w:r>
        <w:rPr>
          <w:rFonts w:ascii="Times New Roman"/>
          <w:b w:val="false"/>
          <w:i w:val="false"/>
          <w:color w:val="000000"/>
          <w:sz w:val="28"/>
        </w:rPr>
        <w:t>
      t – оқу жылы;</w:t>
      </w:r>
    </w:p>
    <w:p>
      <w:pPr>
        <w:spacing w:after="0"/>
        <w:ind w:left="0"/>
        <w:jc w:val="both"/>
      </w:pPr>
      <w:r>
        <w:rPr>
          <w:rFonts w:ascii="Times New Roman"/>
          <w:b w:val="false"/>
          <w:i w:val="false"/>
          <w:color w:val="000000"/>
          <w:sz w:val="28"/>
        </w:rPr>
        <w:t>
      t-1 – алдыңғы оқу жылы.</w:t>
      </w:r>
    </w:p>
    <w:bookmarkStart w:name="z45" w:id="43"/>
    <w:p>
      <w:pPr>
        <w:spacing w:after="0"/>
        <w:ind w:left="0"/>
        <w:jc w:val="left"/>
      </w:pPr>
      <w:r>
        <w:rPr>
          <w:rFonts w:ascii="Times New Roman"/>
          <w:b/>
          <w:i w:val="false"/>
          <w:color w:val="000000"/>
        </w:rPr>
        <w:t xml:space="preserve"> 7-параграф. Екінші жылдық деңгейі</w:t>
      </w:r>
    </w:p>
    <w:bookmarkEnd w:id="43"/>
    <w:bookmarkStart w:name="z46" w:id="44"/>
    <w:p>
      <w:pPr>
        <w:spacing w:after="0"/>
        <w:ind w:left="0"/>
        <w:jc w:val="both"/>
      </w:pPr>
      <w:r>
        <w:rPr>
          <w:rFonts w:ascii="Times New Roman"/>
          <w:b w:val="false"/>
          <w:i w:val="false"/>
          <w:color w:val="000000"/>
          <w:sz w:val="28"/>
        </w:rPr>
        <w:t>
      17. Екінші жылдық деңгей ағымдағы оқу жылында осы оқу сыныбын қайталайтын белгілі бір оқу сыныбындағы студенттердің үлесін өткен жылы сол оқу сыныбына қатысқан балалардың жалпы санының пайызы ретінде өлшейді.</w:t>
      </w:r>
    </w:p>
    <w:bookmarkEnd w:id="44"/>
    <w:bookmarkStart w:name="z47" w:id="45"/>
    <w:p>
      <w:pPr>
        <w:spacing w:after="0"/>
        <w:ind w:left="0"/>
        <w:jc w:val="both"/>
      </w:pPr>
      <w:r>
        <w:rPr>
          <w:rFonts w:ascii="Times New Roman"/>
          <w:b w:val="false"/>
          <w:i w:val="false"/>
          <w:color w:val="000000"/>
          <w:sz w:val="28"/>
        </w:rPr>
        <w:t>
      18. Екінші жылдық деңгей ағымдағы оқу жылындағы сол немесе басқа сыныптағы екінші курс студенттерінің саны ретінде есептеледі, өткен оқу жылындағы сол сыныптағы оқушылар санына бөлінеді:</w:t>
      </w:r>
    </w:p>
    <w:bookmarkEnd w:id="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00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6002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DRgt – t уақыт кезеңінде ББЖХС-2011 деңгейінен кеткендердің  коэффициенті ;  Dgt – t - 1 уақыт кезеңіндегі оқушылардың (студенттердің) саны, t уақыт   кезеңінде білім беру мекемесінде оқымайтындар саны;  Sgt-1 – алдыңғы оқу жылында t - 1 ББЖХС-2011 тиісті деңгейінде оқитын   оқушылар (студенттер) саны;</w:t>
      </w:r>
    </w:p>
    <w:p>
      <w:pPr>
        <w:spacing w:after="0"/>
        <w:ind w:left="0"/>
        <w:jc w:val="both"/>
      </w:pPr>
      <w:r>
        <w:rPr>
          <w:rFonts w:ascii="Times New Roman"/>
          <w:b w:val="false"/>
          <w:i w:val="false"/>
          <w:color w:val="000000"/>
          <w:sz w:val="28"/>
        </w:rPr>
        <w:t>
      1 – ББЖХС-2011 бөлінісіне сәйкес білім беру деңгейлері.</w:t>
      </w:r>
    </w:p>
    <w:bookmarkStart w:name="z48" w:id="46"/>
    <w:p>
      <w:pPr>
        <w:spacing w:after="0"/>
        <w:ind w:left="0"/>
        <w:jc w:val="left"/>
      </w:pPr>
      <w:r>
        <w:rPr>
          <w:rFonts w:ascii="Times New Roman"/>
          <w:b/>
          <w:i w:val="false"/>
          <w:color w:val="000000"/>
        </w:rPr>
        <w:t xml:space="preserve"> 8-параграф. Түлек коэффициенті</w:t>
      </w:r>
    </w:p>
    <w:bookmarkEnd w:id="46"/>
    <w:bookmarkStart w:name="z49" w:id="47"/>
    <w:p>
      <w:pPr>
        <w:spacing w:after="0"/>
        <w:ind w:left="0"/>
        <w:jc w:val="both"/>
      </w:pPr>
      <w:r>
        <w:rPr>
          <w:rFonts w:ascii="Times New Roman"/>
          <w:b w:val="false"/>
          <w:i w:val="false"/>
          <w:color w:val="000000"/>
          <w:sz w:val="28"/>
        </w:rPr>
        <w:t xml:space="preserve">
      19. Түлек коэффициенті білім беру саласының жұмыс істеу нәтижелерін бағалау үшін пайдаланылады. </w:t>
      </w:r>
    </w:p>
    <w:bookmarkEnd w:id="47"/>
    <w:p>
      <w:pPr>
        <w:spacing w:after="0"/>
        <w:ind w:left="0"/>
        <w:jc w:val="both"/>
      </w:pPr>
      <w:r>
        <w:rPr>
          <w:rFonts w:ascii="Times New Roman"/>
          <w:b w:val="false"/>
          <w:i w:val="false"/>
          <w:color w:val="000000"/>
          <w:sz w:val="28"/>
        </w:rPr>
        <w:t>
      Бұл көрсеткіш халықтың тиісті тобының санынан халықтың осы білім деңгейі үшін белгіленген ресми жас тобындағы білім беру мекемелеріндегі түлек оқушылардың бітіру үлесін білдіреді.</w:t>
      </w:r>
    </w:p>
    <w:bookmarkStart w:name="z50" w:id="48"/>
    <w:p>
      <w:pPr>
        <w:spacing w:after="0"/>
        <w:ind w:left="0"/>
        <w:jc w:val="both"/>
      </w:pPr>
      <w:r>
        <w:rPr>
          <w:rFonts w:ascii="Times New Roman"/>
          <w:b w:val="false"/>
          <w:i w:val="false"/>
          <w:color w:val="000000"/>
          <w:sz w:val="28"/>
        </w:rPr>
        <w:t>
      20. Түлек коэффициенті білім берудің осы деңгейіндегі білім беру мекемелері түлектерінің осы білім деңгейі үшін ресми белгіленген жас тобындағы халық санына пайызбен көрсетілген қатынасы ретінде есептеледі.</w:t>
      </w:r>
    </w:p>
    <w:bookmarkEnd w:id="48"/>
    <w:p>
      <w:pPr>
        <w:spacing w:after="0"/>
        <w:ind w:left="0"/>
        <w:jc w:val="both"/>
      </w:pPr>
      <w:r>
        <w:rPr>
          <w:rFonts w:ascii="Times New Roman"/>
          <w:b w:val="false"/>
          <w:i w:val="false"/>
          <w:color w:val="000000"/>
          <w:sz w:val="28"/>
        </w:rPr>
        <w:t>
      Көрсеткіш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304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9304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191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ББЖХС-2011 бойынша білім берудің осы деңгейіндегі түлек  коэффициенті;  </w:t>
      </w:r>
    </w:p>
    <w:p>
      <w:pPr>
        <w:spacing w:after="0"/>
        <w:ind w:left="0"/>
        <w:jc w:val="both"/>
      </w:pPr>
      <w:r>
        <w:drawing>
          <wp:inline distT="0" distB="0" distL="0" distR="0">
            <wp:extent cx="508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5080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ББЖХС-2011 білім берудің осы деңгейі үшін ресми белгіленген жас  тобында бөлінуіне сәйкес осы деңгейдегі бағдарлама түлектерінің саны;  </w:t>
      </w:r>
    </w:p>
    <w:p>
      <w:pPr>
        <w:spacing w:after="0"/>
        <w:ind w:left="0"/>
        <w:jc w:val="both"/>
      </w:pPr>
      <w:r>
        <w:drawing>
          <wp:inline distT="0" distB="0" distL="0" distR="0">
            <wp:extent cx="54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46100" cy="469900"/>
                    </a:xfrm>
                    <a:prstGeom prst="rect">
                      <a:avLst/>
                    </a:prstGeom>
                  </pic:spPr>
                </pic:pic>
              </a:graphicData>
            </a:graphic>
          </wp:inline>
        </w:drawing>
      </w:r>
    </w:p>
    <w:p>
      <w:pPr>
        <w:spacing w:after="0"/>
        <w:ind w:left="0"/>
        <w:jc w:val="left"/>
      </w:pPr>
      <w:r>
        <w:rPr>
          <w:rFonts w:ascii="Times New Roman"/>
          <w:b w:val="false"/>
          <w:i w:val="false"/>
          <w:color w:val="000000"/>
          <w:sz w:val="28"/>
        </w:rPr>
        <w:t>– берілген білім деңгейі үшін ресми белгіленген жас тобындағы халық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ББЖХС-2011 бөлінуіне сәйкес білім беру деңгейлері;</w:t>
      </w:r>
    </w:p>
    <w:p>
      <w:pPr>
        <w:spacing w:after="0"/>
        <w:ind w:left="0"/>
        <w:jc w:val="both"/>
      </w:pPr>
      <w:r>
        <w:rPr>
          <w:rFonts w:ascii="Times New Roman"/>
          <w:b w:val="false"/>
          <w:i w:val="false"/>
          <w:color w:val="000000"/>
          <w:sz w:val="28"/>
        </w:rPr>
        <w:t>
      a – ББЖХС-2011 деңгейіне сәйкес келетін жас топтары.</w:t>
      </w:r>
    </w:p>
    <w:bookmarkStart w:name="z51" w:id="49"/>
    <w:p>
      <w:pPr>
        <w:spacing w:after="0"/>
        <w:ind w:left="0"/>
        <w:jc w:val="left"/>
      </w:pPr>
      <w:r>
        <w:rPr>
          <w:rFonts w:ascii="Times New Roman"/>
          <w:b/>
          <w:i w:val="false"/>
          <w:color w:val="000000"/>
        </w:rPr>
        <w:t xml:space="preserve"> 9-параграф. Түлектерді мақсатты жұмысқа орналастыру</w:t>
      </w:r>
    </w:p>
    <w:bookmarkEnd w:id="49"/>
    <w:bookmarkStart w:name="z52" w:id="50"/>
    <w:p>
      <w:pPr>
        <w:spacing w:after="0"/>
        <w:ind w:left="0"/>
        <w:jc w:val="both"/>
      </w:pPr>
      <w:r>
        <w:rPr>
          <w:rFonts w:ascii="Times New Roman"/>
          <w:b w:val="false"/>
          <w:i w:val="false"/>
          <w:color w:val="000000"/>
          <w:sz w:val="28"/>
        </w:rPr>
        <w:t>
      21. Түлектерді мақсатты жұмысқа орналастыру білім беру мекемелерін аяқтаған және оқуды аяқтағандардың (түлектердің) жалпы санынан жұмысқа орналасқан түлектердің үлесі ретінде айқындалады.</w:t>
      </w:r>
    </w:p>
    <w:bookmarkEnd w:id="50"/>
    <w:p>
      <w:pPr>
        <w:spacing w:after="0"/>
        <w:ind w:left="0"/>
        <w:jc w:val="both"/>
      </w:pPr>
      <w:r>
        <w:rPr>
          <w:rFonts w:ascii="Times New Roman"/>
          <w:b w:val="false"/>
          <w:i w:val="false"/>
          <w:color w:val="000000"/>
          <w:sz w:val="28"/>
        </w:rPr>
        <w:t>
      Көрсеткіш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20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3208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E – түлектердің мақсатты жұмысқа орналастыру;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8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08000" cy="393700"/>
                    </a:xfrm>
                    <a:prstGeom prst="rect">
                      <a:avLst/>
                    </a:prstGeom>
                  </pic:spPr>
                </pic:pic>
              </a:graphicData>
            </a:graphic>
          </wp:inline>
        </w:drawing>
      </w:r>
    </w:p>
    <w:p>
      <w:pPr>
        <w:spacing w:after="0"/>
        <w:ind w:left="0"/>
        <w:jc w:val="left"/>
      </w:pPr>
      <w:r>
        <w:rPr>
          <w:rFonts w:ascii="Times New Roman"/>
          <w:b w:val="false"/>
          <w:i w:val="false"/>
          <w:color w:val="000000"/>
          <w:sz w:val="28"/>
        </w:rPr>
        <w:t>– оқу орындарын табысты бітірген және жұмысқа орналасқан түлектер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Ng - оқуды табысты аяқтаған түлектер саны.</w:t>
      </w:r>
    </w:p>
    <w:bookmarkStart w:name="z53" w:id="51"/>
    <w:p>
      <w:pPr>
        <w:spacing w:after="0"/>
        <w:ind w:left="0"/>
        <w:jc w:val="left"/>
      </w:pPr>
      <w:r>
        <w:rPr>
          <w:rFonts w:ascii="Times New Roman"/>
          <w:b/>
          <w:i w:val="false"/>
          <w:color w:val="000000"/>
        </w:rPr>
        <w:t xml:space="preserve"> 10-параграф. Оқудың күтілетін ұзақтығы</w:t>
      </w:r>
    </w:p>
    <w:bookmarkEnd w:id="51"/>
    <w:bookmarkStart w:name="z54" w:id="52"/>
    <w:p>
      <w:pPr>
        <w:spacing w:after="0"/>
        <w:ind w:left="0"/>
        <w:jc w:val="both"/>
      </w:pPr>
      <w:r>
        <w:rPr>
          <w:rFonts w:ascii="Times New Roman"/>
          <w:b w:val="false"/>
          <w:i w:val="false"/>
          <w:color w:val="000000"/>
          <w:sz w:val="28"/>
        </w:rPr>
        <w:t>
      22. Оқытудың күтілетін ұзақтығы білім беру мекемелеріне түсудің ресми белгіленген жасына жеткен оқушының (студенттің) халықты білім берумен қамтудың қолда бар коэффициенттері сақталған жағдайда білім берудің барлық сатыларында оқуға жұмсай жыл санын көрсетеді.</w:t>
      </w:r>
    </w:p>
    <w:bookmarkEnd w:id="52"/>
    <w:bookmarkStart w:name="z55" w:id="53"/>
    <w:p>
      <w:pPr>
        <w:spacing w:after="0"/>
        <w:ind w:left="0"/>
        <w:jc w:val="both"/>
      </w:pPr>
      <w:r>
        <w:rPr>
          <w:rFonts w:ascii="Times New Roman"/>
          <w:b w:val="false"/>
          <w:i w:val="false"/>
          <w:color w:val="000000"/>
          <w:sz w:val="28"/>
        </w:rPr>
        <w:t>
      23. Бұл көрсеткіш халықты біліммен қамту дәрежесін сипаттайды және ББЖХС-2011 бөлінісіне сәйкес білім берудің барлық деңгейлерінің қосындысына тең:</w:t>
      </w:r>
    </w:p>
    <w:bookmarkEnd w:id="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5240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93700" cy="406400"/>
                    </a:xfrm>
                    <a:prstGeom prst="rect">
                      <a:avLst/>
                    </a:prstGeom>
                  </pic:spPr>
                </pic:pic>
              </a:graphicData>
            </a:graphic>
          </wp:inline>
        </w:drawing>
      </w:r>
    </w:p>
    <w:p>
      <w:pPr>
        <w:spacing w:after="0"/>
        <w:ind w:left="0"/>
        <w:jc w:val="left"/>
      </w:pPr>
      <w:r>
        <w:rPr>
          <w:rFonts w:ascii="Times New Roman"/>
          <w:b w:val="false"/>
          <w:i w:val="false"/>
          <w:color w:val="000000"/>
          <w:sz w:val="28"/>
        </w:rPr>
        <w:t>– оқытудың күтілетін ұзақтығы;</w:t>
      </w:r>
      <w:r>
        <w:br/>
      </w:r>
      <w:r>
        <w:rPr>
          <w:rFonts w:ascii="Times New Roman"/>
          <w:b w:val="false"/>
          <w:i w:val="false"/>
          <w:color w:val="000000"/>
          <w:sz w:val="28"/>
        </w:rPr>
        <w:t>
</w:t>
      </w:r>
      <w:r>
        <w:br/>
      </w:r>
    </w:p>
    <w:p>
      <w:pPr>
        <w:spacing w:after="0"/>
        <w:ind w:left="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93700" cy="393700"/>
                    </a:xfrm>
                    <a:prstGeom prst="rect">
                      <a:avLst/>
                    </a:prstGeom>
                  </pic:spPr>
                </pic:pic>
              </a:graphicData>
            </a:graphic>
          </wp:inline>
        </w:drawing>
      </w:r>
    </w:p>
    <w:p>
      <w:pPr>
        <w:spacing w:after="0"/>
        <w:ind w:left="0"/>
        <w:jc w:val="left"/>
      </w:pPr>
      <w:r>
        <w:rPr>
          <w:rFonts w:ascii="Times New Roman"/>
          <w:b w:val="false"/>
          <w:i w:val="false"/>
          <w:color w:val="000000"/>
          <w:sz w:val="28"/>
        </w:rPr>
        <w:t>– t оқу жылындағы I жастағы оқушылар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Tit – t оқу жылындағы I жастағы халық саны;</w:t>
      </w:r>
    </w:p>
    <w:p>
      <w:pPr>
        <w:spacing w:after="0"/>
        <w:ind w:left="0"/>
        <w:jc w:val="both"/>
      </w:pPr>
      <w:r>
        <w:rPr>
          <w:rFonts w:ascii="Times New Roman"/>
          <w:b w:val="false"/>
          <w:i w:val="false"/>
          <w:color w:val="000000"/>
          <w:sz w:val="28"/>
        </w:rPr>
        <w:t>
      i – жасы;</w:t>
      </w:r>
    </w:p>
    <w:p>
      <w:pPr>
        <w:spacing w:after="0"/>
        <w:ind w:left="0"/>
        <w:jc w:val="both"/>
      </w:pPr>
      <w:r>
        <w:rPr>
          <w:rFonts w:ascii="Times New Roman"/>
          <w:b w:val="false"/>
          <w:i w:val="false"/>
          <w:color w:val="000000"/>
          <w:sz w:val="28"/>
        </w:rPr>
        <w:t>
      t – оқу жылы;</w:t>
      </w:r>
    </w:p>
    <w:p>
      <w:pPr>
        <w:spacing w:after="0"/>
        <w:ind w:left="0"/>
        <w:jc w:val="both"/>
      </w:pPr>
      <w:r>
        <w:rPr>
          <w:rFonts w:ascii="Times New Roman"/>
          <w:b w:val="false"/>
          <w:i w:val="false"/>
          <w:color w:val="000000"/>
          <w:sz w:val="28"/>
        </w:rPr>
        <w:t>
      a – ББЖХС-2011 деңгейіне сәйкес келетін жас топтары;</w:t>
      </w:r>
    </w:p>
    <w:p>
      <w:pPr>
        <w:spacing w:after="0"/>
        <w:ind w:left="0"/>
        <w:jc w:val="both"/>
      </w:pPr>
      <w:r>
        <w:rPr>
          <w:rFonts w:ascii="Times New Roman"/>
          <w:b w:val="false"/>
          <w:i w:val="false"/>
          <w:color w:val="000000"/>
          <w:sz w:val="28"/>
        </w:rPr>
        <w:t>
      n – оқудың жоғарғы жас шегі.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