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f809" w14:textId="90ef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2020 жылғы 29 желтоқсандағы № 57-779/VI "Үржар ауданы Салқынбел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9 сәуірдегі № 4-59/VII шешімі. Шығыс Қазақстан облысының Әділет департаментінде 2021 жылғы 19 сәуірде № 8651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16 наурыздағы № 3-26/VI "Үржар аудандық мәслихатының 2020 жылғы 22 желтоқсандағы № 57-742/VI "2021-2023 жылдарға арналған Үржар ауданының бюджеті туралы" шешіміне өзгерістер енгізу туралы (нормативтік құқықтық актілерді мемлекеттік тіркеу Тізілімінде 8465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2020 жылғы 29 қаңтардағы № 57-779/VI "Үржар ауданы Салқынбел ауылдық округінің 2021-2023 жылдарға арналған бюджеті туралы" (Нормативтік құқықтық актілерді мемлекеттік тіркеу Тізілімінде 8213 нөмірімен тіркелген, 2021 жылдың 20 қаңтарында Қазақстан Республикасы нормативтық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Үржар ауданы Салқынбел ауылдық округінің 2021-2023 жылдарға арналған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34 250,2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57-779/VI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 кірістер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 шығындар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