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8a4e" w14:textId="7eb8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25 желтоқсандағы № 55-2 "2021-2023 жылдарға арналған Көкпекті аудандық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Көкпекті аудандық мәслихатының 2021 жылғы 6 желтоқсандағы № 11-2 шешімі. Қазақстан Республикасының Әділет министрлігінде 2021 жылғы 15 желтоқсанда № 25787 болып тіркелді</w:t>
      </w:r>
    </w:p>
    <w:p>
      <w:pPr>
        <w:spacing w:after="0"/>
        <w:ind w:left="0"/>
        <w:jc w:val="both"/>
      </w:pPr>
      <w:bookmarkStart w:name="z5" w:id="0"/>
      <w:r>
        <w:rPr>
          <w:rFonts w:ascii="Times New Roman"/>
          <w:b w:val="false"/>
          <w:i w:val="false"/>
          <w:color w:val="000000"/>
          <w:sz w:val="28"/>
        </w:rPr>
        <w:t>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"2021-2023 жылдарға арналған Көкпекті аудандық бюджеті туралы" 2020 жылғы 25 желтоқсандағы № 55-2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8067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Көкпекті аудандық бюджеті тиісінше 1, 2 және 3-қосымшаларға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14 075 793,8 мың теңге, соның ішінде:</w:t>
      </w:r>
    </w:p>
    <w:p>
      <w:pPr>
        <w:spacing w:after="0"/>
        <w:ind w:left="0"/>
        <w:jc w:val="both"/>
      </w:pPr>
      <w:r>
        <w:rPr>
          <w:rFonts w:ascii="Times New Roman"/>
          <w:b w:val="false"/>
          <w:i w:val="false"/>
          <w:color w:val="000000"/>
          <w:sz w:val="28"/>
        </w:rPr>
        <w:t>
      салықтық түсімдер – 4 667 507,2 мың теңге;</w:t>
      </w:r>
    </w:p>
    <w:p>
      <w:pPr>
        <w:spacing w:after="0"/>
        <w:ind w:left="0"/>
        <w:jc w:val="both"/>
      </w:pPr>
      <w:r>
        <w:rPr>
          <w:rFonts w:ascii="Times New Roman"/>
          <w:b w:val="false"/>
          <w:i w:val="false"/>
          <w:color w:val="000000"/>
          <w:sz w:val="28"/>
        </w:rPr>
        <w:t>
      салықтық емес түсімдер – 27 066,4 мың теңге;</w:t>
      </w:r>
    </w:p>
    <w:p>
      <w:pPr>
        <w:spacing w:after="0"/>
        <w:ind w:left="0"/>
        <w:jc w:val="both"/>
      </w:pPr>
      <w:r>
        <w:rPr>
          <w:rFonts w:ascii="Times New Roman"/>
          <w:b w:val="false"/>
          <w:i w:val="false"/>
          <w:color w:val="000000"/>
          <w:sz w:val="28"/>
        </w:rPr>
        <w:t>
      негізгі капиталды сатудан түсетін түсімдер – 23 630,0 мың теңге;</w:t>
      </w:r>
    </w:p>
    <w:p>
      <w:pPr>
        <w:spacing w:after="0"/>
        <w:ind w:left="0"/>
        <w:jc w:val="both"/>
      </w:pPr>
      <w:r>
        <w:rPr>
          <w:rFonts w:ascii="Times New Roman"/>
          <w:b w:val="false"/>
          <w:i w:val="false"/>
          <w:color w:val="000000"/>
          <w:sz w:val="28"/>
        </w:rPr>
        <w:t>
      трансферттер түсімі – 9 357 590,2 мың теңге;</w:t>
      </w:r>
    </w:p>
    <w:p>
      <w:pPr>
        <w:spacing w:after="0"/>
        <w:ind w:left="0"/>
        <w:jc w:val="both"/>
      </w:pPr>
      <w:r>
        <w:rPr>
          <w:rFonts w:ascii="Times New Roman"/>
          <w:b w:val="false"/>
          <w:i w:val="false"/>
          <w:color w:val="000000"/>
          <w:sz w:val="28"/>
        </w:rPr>
        <w:t>
      2) шығындар – 14 286 573,3 мың теңге;</w:t>
      </w:r>
    </w:p>
    <w:p>
      <w:pPr>
        <w:spacing w:after="0"/>
        <w:ind w:left="0"/>
        <w:jc w:val="both"/>
      </w:pPr>
      <w:r>
        <w:rPr>
          <w:rFonts w:ascii="Times New Roman"/>
          <w:b w:val="false"/>
          <w:i w:val="false"/>
          <w:color w:val="000000"/>
          <w:sz w:val="28"/>
        </w:rPr>
        <w:t>
      3) таза бюджеттік кредиттеу – 86 246,0 мың теңге, соның ішінде:</w:t>
      </w:r>
    </w:p>
    <w:p>
      <w:pPr>
        <w:spacing w:after="0"/>
        <w:ind w:left="0"/>
        <w:jc w:val="both"/>
      </w:pPr>
      <w:r>
        <w:rPr>
          <w:rFonts w:ascii="Times New Roman"/>
          <w:b w:val="false"/>
          <w:i w:val="false"/>
          <w:color w:val="000000"/>
          <w:sz w:val="28"/>
        </w:rPr>
        <w:t>
      бюджеттік кредиттер – 122 514,0 мың теңге;</w:t>
      </w:r>
    </w:p>
    <w:p>
      <w:pPr>
        <w:spacing w:after="0"/>
        <w:ind w:left="0"/>
        <w:jc w:val="both"/>
      </w:pPr>
      <w:r>
        <w:rPr>
          <w:rFonts w:ascii="Times New Roman"/>
          <w:b w:val="false"/>
          <w:i w:val="false"/>
          <w:color w:val="000000"/>
          <w:sz w:val="28"/>
        </w:rPr>
        <w:t>
      бюджеттік кредиттерді өтеу – 36 268,0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124 533,5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-124 533,5 мың теңге:</w:t>
      </w:r>
    </w:p>
    <w:p>
      <w:pPr>
        <w:spacing w:after="0"/>
        <w:ind w:left="0"/>
        <w:jc w:val="both"/>
      </w:pPr>
      <w:r>
        <w:rPr>
          <w:rFonts w:ascii="Times New Roman"/>
          <w:b w:val="false"/>
          <w:i w:val="false"/>
          <w:color w:val="000000"/>
          <w:sz w:val="28"/>
        </w:rPr>
        <w:t>
      қарыздар түсімі – 122 514,0 мың теңге;</w:t>
      </w:r>
    </w:p>
    <w:p>
      <w:pPr>
        <w:spacing w:after="0"/>
        <w:ind w:left="0"/>
        <w:jc w:val="both"/>
      </w:pPr>
      <w:r>
        <w:rPr>
          <w:rFonts w:ascii="Times New Roman"/>
          <w:b w:val="false"/>
          <w:i w:val="false"/>
          <w:color w:val="000000"/>
          <w:sz w:val="28"/>
        </w:rPr>
        <w:t>
      қарыздарды өтеу – 36 268,0 мың теңге;</w:t>
      </w:r>
    </w:p>
    <w:p>
      <w:pPr>
        <w:spacing w:after="0"/>
        <w:ind w:left="0"/>
        <w:jc w:val="both"/>
      </w:pPr>
      <w:r>
        <w:rPr>
          <w:rFonts w:ascii="Times New Roman"/>
          <w:b w:val="false"/>
          <w:i w:val="false"/>
          <w:color w:val="000000"/>
          <w:sz w:val="28"/>
        </w:rPr>
        <w:t>
      бюджет қаражатының пайдаланылатын қалдықтары – 210 779,5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 қосымшаларына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2021 жылғы 6 желтоқсандағы </w:t>
            </w:r>
            <w:r>
              <w:br/>
            </w:r>
            <w:r>
              <w:rPr>
                <w:rFonts w:ascii="Times New Roman"/>
                <w:b w:val="false"/>
                <w:i w:val="false"/>
                <w:color w:val="000000"/>
                <w:sz w:val="20"/>
              </w:rPr>
              <w:t>№ 11-2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маслихатының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508"/>
        <w:gridCol w:w="508"/>
        <w:gridCol w:w="12407"/>
        <w:gridCol w:w="7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14 075 793,8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4 667 507,2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3 863 611,5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2 919 377,5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714 658,3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714 658,3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w:t>
            </w:r>
          </w:p>
          <w:p>
            <w:pPr>
              <w:spacing w:after="20"/>
              <w:ind w:left="20"/>
              <w:jc w:val="both"/>
            </w:pPr>
            <w:r>
              <w:rPr>
                <w:rFonts w:ascii="Times New Roman"/>
                <w:b w:val="false"/>
                <w:i w:val="false"/>
                <w:color w:val="000000"/>
                <w:sz w:val="20"/>
              </w:rPr>
              <w:t>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9 357 590,2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9 357 590,2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9 357 590,2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14 286 573,3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1 450 232,8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351 305,2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321 275,1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208 477,1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943 529,3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877 133,8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827 639,6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680 730,9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485 767,5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485 767,5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127 155,0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4 582 864,1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469 119,7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306 557,7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270 160,1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162 562,0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162 562,0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4 113 744,4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204 509,1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204 509,1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3 909 235,3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3 909 235,3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553 496,3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40 879,6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210 780,1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165 360,3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45 419,8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745 055,8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745 055,8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745 055,8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6 032 222,5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6 032 222,5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6 032 222,5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5 603 794,0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344 286,0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қаржы жылында республикалық бюджеттен бөлінген, Қазақстан Республикасы Үкіметінің шешімі бойынша толық пайдалануға рұқсат етілген пайдаланылмаған (толық пайдаланылмаған) нысаналы даму трансферттерін қайтару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маслихатының </w:t>
            </w:r>
            <w:r>
              <w:br/>
            </w:r>
            <w:r>
              <w:rPr>
                <w:rFonts w:ascii="Times New Roman"/>
                <w:b w:val="false"/>
                <w:i w:val="false"/>
                <w:color w:val="000000"/>
                <w:sz w:val="20"/>
              </w:rPr>
              <w:t>2021 жылғы 6 желтоқсандағы</w:t>
            </w:r>
            <w:r>
              <w:br/>
            </w:r>
            <w:r>
              <w:rPr>
                <w:rFonts w:ascii="Times New Roman"/>
                <w:b w:val="false"/>
                <w:i w:val="false"/>
                <w:color w:val="000000"/>
                <w:sz w:val="20"/>
              </w:rPr>
              <w:t>№ 11-2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4 қосымша</w:t>
            </w:r>
          </w:p>
        </w:tc>
      </w:tr>
    </w:tbl>
    <w:p>
      <w:pPr>
        <w:spacing w:after="0"/>
        <w:ind w:left="0"/>
        <w:jc w:val="left"/>
      </w:pPr>
      <w:r>
        <w:rPr>
          <w:rFonts w:ascii="Times New Roman"/>
          <w:b/>
          <w:i w:val="false"/>
          <w:color w:val="000000"/>
        </w:rPr>
        <w:t xml:space="preserve"> 2021 жылға арналған облыстық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088"/>
        <w:gridCol w:w="5155"/>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қандастар үшін тұрғын үй жалдау (жалға алу) бойынша шығындарды өтеуге субсидиялар</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орны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4 807,5</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жайластыруға, соның ішінде: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мекендерді аббантандыруға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блоктік-модульдік станцияларын орнатуға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41 490,0</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соның ішінде: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52 189,1</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маслихатының</w:t>
            </w:r>
            <w:r>
              <w:br/>
            </w:r>
            <w:r>
              <w:rPr>
                <w:rFonts w:ascii="Times New Roman"/>
                <w:b w:val="false"/>
                <w:i w:val="false"/>
                <w:color w:val="000000"/>
                <w:sz w:val="20"/>
              </w:rPr>
              <w:t>2021 жылғы 6 желтоқсандағы</w:t>
            </w:r>
            <w:r>
              <w:br/>
            </w:r>
            <w:r>
              <w:rPr>
                <w:rFonts w:ascii="Times New Roman"/>
                <w:b w:val="false"/>
                <w:i w:val="false"/>
                <w:color w:val="000000"/>
                <w:sz w:val="20"/>
              </w:rPr>
              <w:t>№ 11-2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55-2 шешіміне 5 қосымша</w:t>
            </w:r>
          </w:p>
        </w:tc>
      </w:tr>
    </w:tbl>
    <w:p>
      <w:pPr>
        <w:spacing w:after="0"/>
        <w:ind w:left="0"/>
        <w:jc w:val="left"/>
      </w:pPr>
      <w:r>
        <w:rPr>
          <w:rFonts w:ascii="Times New Roman"/>
          <w:b/>
          <w:i w:val="false"/>
          <w:color w:val="000000"/>
        </w:rPr>
        <w:t xml:space="preserve"> 2021 жылға арналған облыстық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6204"/>
        <w:gridCol w:w="5059"/>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жобаралар бойынша:</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328 130,1</w:t>
            </w:r>
          </w:p>
        </w:tc>
      </w:tr>
      <w:tr>
        <w:trPr>
          <w:trHeight w:val="30" w:hRule="atLeast"/>
        </w:trPr>
        <w:tc>
          <w:tcPr>
            <w:tcW w:w="0" w:type="auto"/>
            <w:vMerge/>
            <w:tcBorders>
              <w:top w:val="nil"/>
              <w:left w:val="single" w:color="cfcfcf" w:sz="5"/>
              <w:bottom w:val="single" w:color="cfcfcf" w:sz="5"/>
              <w:right w:val="single" w:color="cfcfcf" w:sz="5"/>
            </w:tcBorders>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суалу ғимаратын қайта құру</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30 667,2</w:t>
            </w:r>
          </w:p>
        </w:tc>
      </w:tr>
      <w:tr>
        <w:trPr>
          <w:trHeight w:val="30" w:hRule="atLeast"/>
        </w:trPr>
        <w:tc>
          <w:tcPr>
            <w:tcW w:w="0" w:type="auto"/>
            <w:vMerge/>
            <w:tcBorders>
              <w:top w:val="nil"/>
              <w:left w:val="single" w:color="cfcfcf" w:sz="5"/>
              <w:bottom w:val="single" w:color="cfcfcf" w:sz="5"/>
              <w:right w:val="single" w:color="cfcfcf" w:sz="5"/>
            </w:tcBorders>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34 053,6</w:t>
            </w:r>
          </w:p>
        </w:tc>
      </w:tr>
      <w:tr>
        <w:trPr>
          <w:trHeight w:val="30" w:hRule="atLeast"/>
        </w:trPr>
        <w:tc>
          <w:tcPr>
            <w:tcW w:w="0" w:type="auto"/>
            <w:vMerge/>
            <w:tcBorders>
              <w:top w:val="nil"/>
              <w:left w:val="single" w:color="cfcfcf" w:sz="5"/>
              <w:bottom w:val="single" w:color="cfcfcf" w:sz="5"/>
              <w:right w:val="single" w:color="cfcfcf" w:sz="5"/>
            </w:tcBorders>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29 714,0</w:t>
            </w:r>
          </w:p>
        </w:tc>
      </w:tr>
      <w:tr>
        <w:trPr>
          <w:trHeight w:val="30" w:hRule="atLeast"/>
        </w:trPr>
        <w:tc>
          <w:tcPr>
            <w:tcW w:w="0" w:type="auto"/>
            <w:vMerge/>
            <w:tcBorders>
              <w:top w:val="nil"/>
              <w:left w:val="single" w:color="cfcfcf" w:sz="5"/>
              <w:bottom w:val="single" w:color="cfcfcf" w:sz="5"/>
              <w:right w:val="single" w:color="cfcfcf" w:sz="5"/>
            </w:tcBorders>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41 856,0</w:t>
            </w:r>
          </w:p>
        </w:tc>
      </w:tr>
      <w:tr>
        <w:trPr>
          <w:trHeight w:val="30" w:hRule="atLeast"/>
        </w:trPr>
        <w:tc>
          <w:tcPr>
            <w:tcW w:w="0" w:type="auto"/>
            <w:vMerge/>
            <w:tcBorders>
              <w:top w:val="nil"/>
              <w:left w:val="single" w:color="cfcfcf" w:sz="5"/>
              <w:bottom w:val="single" w:color="cfcfcf" w:sz="5"/>
              <w:right w:val="single" w:color="cfcfcf" w:sz="5"/>
            </w:tcBorders>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41 837,6</w:t>
            </w:r>
          </w:p>
        </w:tc>
      </w:tr>
      <w:tr>
        <w:trPr>
          <w:trHeight w:val="30" w:hRule="atLeast"/>
        </w:trPr>
        <w:tc>
          <w:tcPr>
            <w:tcW w:w="0" w:type="auto"/>
            <w:vMerge/>
            <w:tcBorders>
              <w:top w:val="nil"/>
              <w:left w:val="single" w:color="cfcfcf" w:sz="5"/>
              <w:bottom w:val="single" w:color="cfcfcf" w:sz="5"/>
              <w:right w:val="single" w:color="cfcfcf" w:sz="5"/>
            </w:tcBorders>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55 532,7</w:t>
            </w:r>
          </w:p>
        </w:tc>
      </w:tr>
      <w:tr>
        <w:trPr>
          <w:trHeight w:val="30" w:hRule="atLeast"/>
        </w:trPr>
        <w:tc>
          <w:tcPr>
            <w:tcW w:w="0" w:type="auto"/>
            <w:vMerge/>
            <w:tcBorders>
              <w:top w:val="nil"/>
              <w:left w:val="single" w:color="cfcfcf" w:sz="5"/>
              <w:bottom w:val="single" w:color="cfcfcf" w:sz="5"/>
              <w:right w:val="single" w:color="cfcfcf" w:sz="5"/>
            </w:tcBorders>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36 200,6</w:t>
            </w:r>
          </w:p>
        </w:tc>
      </w:tr>
      <w:tr>
        <w:trPr>
          <w:trHeight w:val="30" w:hRule="atLeast"/>
        </w:trPr>
        <w:tc>
          <w:tcPr>
            <w:tcW w:w="0" w:type="auto"/>
            <w:vMerge/>
            <w:tcBorders>
              <w:top w:val="nil"/>
              <w:left w:val="single" w:color="cfcfcf" w:sz="5"/>
              <w:bottom w:val="single" w:color="cfcfcf" w:sz="5"/>
              <w:right w:val="single" w:color="cfcfcf" w:sz="5"/>
            </w:tcBorders>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Төмегі тұрған бюджеттерге берілетін нысаналы ағымдағы трансферттер</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маслихатының </w:t>
            </w:r>
            <w:r>
              <w:br/>
            </w:r>
            <w:r>
              <w:rPr>
                <w:rFonts w:ascii="Times New Roman"/>
                <w:b w:val="false"/>
                <w:i w:val="false"/>
                <w:color w:val="000000"/>
                <w:sz w:val="20"/>
              </w:rPr>
              <w:t>2021 жылғы 6 желтоқсандағы</w:t>
            </w:r>
            <w:r>
              <w:br/>
            </w:r>
            <w:r>
              <w:rPr>
                <w:rFonts w:ascii="Times New Roman"/>
                <w:b w:val="false"/>
                <w:i w:val="false"/>
                <w:color w:val="000000"/>
                <w:sz w:val="20"/>
              </w:rPr>
              <w:t>№ 11-2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6 қосымша</w:t>
            </w:r>
          </w:p>
        </w:tc>
      </w:tr>
    </w:tbl>
    <w:p>
      <w:pPr>
        <w:spacing w:after="0"/>
        <w:ind w:left="0"/>
        <w:jc w:val="left"/>
      </w:pPr>
      <w:r>
        <w:rPr>
          <w:rFonts w:ascii="Times New Roman"/>
          <w:b/>
          <w:i w:val="false"/>
          <w:color w:val="000000"/>
        </w:rPr>
        <w:t xml:space="preserve"> 2021 жылға арналған республикалық бюджеттен берілетін ағымдағы нысаналы трансферттер</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381"/>
        <w:gridCol w:w="3253"/>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жылдарға арналған "Еңбек"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85 666,0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29 170,0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36 720,0</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жақсартуға, соның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3 157,0</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163 987,0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124 487,0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кепілді әлеуметтік пакет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мемлекеттік ұйымдарындағы жұмысшылардың еңбекақысына үстеме ақы белгілеуге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және мұрағат мекемелерінің басқару және негізгі қызметкерлеріне мәдениет ұйымдарында және мұраған мекемелерінде ерекше еңбек жағдайы үшін лауазымдық ақыларына үстеме ақы белгілеуге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маслихатының</w:t>
            </w:r>
            <w:r>
              <w:br/>
            </w:r>
            <w:r>
              <w:rPr>
                <w:rFonts w:ascii="Times New Roman"/>
                <w:b w:val="false"/>
                <w:i w:val="false"/>
                <w:color w:val="000000"/>
                <w:sz w:val="20"/>
              </w:rPr>
              <w:t>2021 жылғы 6 желтоқсандағы</w:t>
            </w:r>
            <w:r>
              <w:br/>
            </w:r>
            <w:r>
              <w:rPr>
                <w:rFonts w:ascii="Times New Roman"/>
                <w:b w:val="false"/>
                <w:i w:val="false"/>
                <w:color w:val="000000"/>
                <w:sz w:val="20"/>
              </w:rPr>
              <w:t>№ 11-2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7 қосымша</w:t>
            </w:r>
          </w:p>
        </w:tc>
      </w:tr>
    </w:tbl>
    <w:p>
      <w:pPr>
        <w:spacing w:after="0"/>
        <w:ind w:left="0"/>
        <w:jc w:val="left"/>
      </w:pPr>
      <w:r>
        <w:rPr>
          <w:rFonts w:ascii="Times New Roman"/>
          <w:b/>
          <w:i w:val="false"/>
          <w:color w:val="000000"/>
        </w:rPr>
        <w:t xml:space="preserve"> 2021 жылға арналған республикалық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5796"/>
        <w:gridCol w:w="5535"/>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жобалар бойынша</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3 833 179,0</w:t>
            </w:r>
          </w:p>
        </w:tc>
      </w:tr>
      <w:tr>
        <w:trPr>
          <w:trHeight w:val="30" w:hRule="atLeast"/>
        </w:trPr>
        <w:tc>
          <w:tcPr>
            <w:tcW w:w="0" w:type="auto"/>
            <w:vMerge/>
            <w:tcBorders>
              <w:top w:val="nil"/>
              <w:left w:val="single" w:color="cfcfcf" w:sz="5"/>
              <w:bottom w:val="single" w:color="cfcfcf" w:sz="5"/>
              <w:right w:val="single" w:color="cfcfcf" w:sz="5"/>
            </w:tcBorders>
          </w:tcP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 құбырлары желісін қайта құру</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суалу ғимаратын қайта құру</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Көкжайык ауылында су құбырлары желісінің құрылысы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555 981,0</w:t>
            </w:r>
          </w:p>
        </w:tc>
      </w:tr>
      <w:tr>
        <w:trPr>
          <w:trHeight w:val="30" w:hRule="atLeast"/>
        </w:trPr>
        <w:tc>
          <w:tcPr>
            <w:tcW w:w="0" w:type="auto"/>
            <w:vMerge/>
            <w:tcBorders>
              <w:top w:val="nil"/>
              <w:left w:val="single" w:color="cfcfcf" w:sz="5"/>
              <w:bottom w:val="single" w:color="cfcfcf" w:sz="5"/>
              <w:right w:val="single" w:color="cfcfcf" w:sz="5"/>
            </w:tcBorders>
          </w:tcP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263 212,0</w:t>
            </w:r>
          </w:p>
        </w:tc>
      </w:tr>
      <w:tr>
        <w:trPr>
          <w:trHeight w:val="30" w:hRule="atLeast"/>
        </w:trPr>
        <w:tc>
          <w:tcPr>
            <w:tcW w:w="0" w:type="auto"/>
            <w:vMerge/>
            <w:tcBorders>
              <w:top w:val="nil"/>
              <w:left w:val="single" w:color="cfcfcf" w:sz="5"/>
              <w:bottom w:val="single" w:color="cfcfcf" w:sz="5"/>
              <w:right w:val="single" w:color="cfcfcf" w:sz="5"/>
            </w:tcBorders>
          </w:tcP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278 170,0</w:t>
            </w:r>
          </w:p>
        </w:tc>
      </w:tr>
      <w:tr>
        <w:trPr>
          <w:trHeight w:val="30" w:hRule="atLeast"/>
        </w:trPr>
        <w:tc>
          <w:tcPr>
            <w:tcW w:w="0" w:type="auto"/>
            <w:vMerge/>
            <w:tcBorders>
              <w:top w:val="nil"/>
              <w:left w:val="single" w:color="cfcfcf" w:sz="5"/>
              <w:bottom w:val="single" w:color="cfcfcf" w:sz="5"/>
              <w:right w:val="single" w:color="cfcfcf" w:sz="5"/>
            </w:tcBorders>
          </w:tcP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349 764,0</w:t>
            </w:r>
          </w:p>
        </w:tc>
      </w:tr>
      <w:tr>
        <w:trPr>
          <w:trHeight w:val="30" w:hRule="atLeast"/>
        </w:trPr>
        <w:tc>
          <w:tcPr>
            <w:tcW w:w="0" w:type="auto"/>
            <w:vMerge/>
            <w:tcBorders>
              <w:top w:val="nil"/>
              <w:left w:val="single" w:color="cfcfcf" w:sz="5"/>
              <w:bottom w:val="single" w:color="cfcfcf" w:sz="5"/>
              <w:right w:val="single" w:color="cfcfcf" w:sz="5"/>
            </w:tcBorders>
          </w:tcP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366 438,0</w:t>
            </w:r>
          </w:p>
        </w:tc>
      </w:tr>
      <w:tr>
        <w:trPr>
          <w:trHeight w:val="30" w:hRule="atLeast"/>
        </w:trPr>
        <w:tc>
          <w:tcPr>
            <w:tcW w:w="0" w:type="auto"/>
            <w:vMerge/>
            <w:tcBorders>
              <w:top w:val="nil"/>
              <w:left w:val="single" w:color="cfcfcf" w:sz="5"/>
              <w:bottom w:val="single" w:color="cfcfcf" w:sz="5"/>
              <w:right w:val="single" w:color="cfcfcf" w:sz="5"/>
            </w:tcBorders>
          </w:tcP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485 085,0</w:t>
            </w:r>
          </w:p>
        </w:tc>
      </w:tr>
      <w:tr>
        <w:trPr>
          <w:trHeight w:val="30" w:hRule="atLeast"/>
        </w:trPr>
        <w:tc>
          <w:tcPr>
            <w:tcW w:w="0" w:type="auto"/>
            <w:vMerge/>
            <w:tcBorders>
              <w:top w:val="nil"/>
              <w:left w:val="single" w:color="cfcfcf" w:sz="5"/>
              <w:bottom w:val="single" w:color="cfcfcf" w:sz="5"/>
              <w:right w:val="single" w:color="cfcfcf" w:sz="5"/>
            </w:tcBorders>
          </w:tcP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310 206,0</w:t>
            </w:r>
          </w:p>
        </w:tc>
      </w:tr>
      <w:tr>
        <w:trPr>
          <w:trHeight w:val="30" w:hRule="atLeast"/>
        </w:trPr>
        <w:tc>
          <w:tcPr>
            <w:tcW w:w="0" w:type="auto"/>
            <w:vMerge/>
            <w:tcBorders>
              <w:top w:val="nil"/>
              <w:left w:val="single" w:color="cfcfcf" w:sz="5"/>
              <w:bottom w:val="single" w:color="cfcfcf" w:sz="5"/>
              <w:right w:val="single" w:color="cfcfcf" w:sz="5"/>
            </w:tcBorders>
          </w:tcP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294 609,0</w:t>
            </w:r>
          </w:p>
        </w:tc>
      </w:tr>
      <w:tr>
        <w:trPr>
          <w:trHeight w:val="30" w:hRule="atLeast"/>
        </w:trPr>
        <w:tc>
          <w:tcPr>
            <w:tcW w:w="0" w:type="auto"/>
            <w:vMerge/>
            <w:tcBorders>
              <w:top w:val="nil"/>
              <w:left w:val="single" w:color="cfcfcf" w:sz="5"/>
              <w:bottom w:val="single" w:color="cfcfcf" w:sz="5"/>
              <w:right w:val="single" w:color="cfcfcf" w:sz="5"/>
            </w:tcBorders>
          </w:tcP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ауылында тазарту құрылыстарының және кәріз желілерінің құрылысы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137 647,0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3 833 179,0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