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59ed" w14:textId="5f259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46/430–VI "2021-2023 жылдарға арналған Ново-Хайрузовского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14 сәуірдегі № 5/35-VII шешімі. Шығыс Қазақстан облысының Әділет департаментінде 2021 жылғы 30 сәуірде № 8711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Катонқарағай аудандық мәслихатының 2021 жылғы 17 наурыздағы № 4/25-VІI "Катонқарағай аудандық мәслихатының 2020 жылғы 25 желтоқсандағы № 46/400-VI "2021-2023 жылдарға арналған Катонқарағай ауданының бюджеті туралы" шешіміне өзгерістер енгізу туралы" (нормативтік кұқықтық актілердің мемлекеттік тіркеу Тізілімінде 8533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аудандық мәслихатының 2020 жылғы 30 желтоқандағы № 46/430-VI "2021-2023 жылдарға арналған Ново-Хайрузовского ауылдық округтерінің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8331 нөмірімен тіркелген, 2021жылғы 11 қаңтарда Қазақстан Республикасының нормативтік құқықтық актілерінің электрондық түрдегі эталондық бақылау банкінде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Ново-Хайрузовка ауылдық округінің бюджеті 1,2 және тиісінше 3- қосымшаларға сәйкес, оның ішінде 2021 жылға келесі көлемдерде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32006,0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29460,0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- 169,4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169,4 мың теңге.".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Амисолтанова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5/35-VII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46/430-VI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Ново-Хайрузовка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32175,4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