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760" w14:textId="24e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55/530-VІ "2021-2023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5/62-VIІ шешімі. Қазақстан Республикасының Әділет министрлігінде 2021 жылғы 24 мамырда № 22789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55/530-VІ "2021-2023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8301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Ақтоғай кенттік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41177,0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1286,0 мың теңге.";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