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bf83" w14:textId="3a8b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 539-VI "2021-2023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7-VIІ шешімі. Шығыс Қазақстан облысының Әділет департаментінде 2021 жылғы 8 сәуірде № 85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39-VІ "2021-2023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0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045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6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