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d3cf" w14:textId="9d1d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55/541-VІ "2021-2023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4/39-VIІ шешімі. Шығыс Қазақстан облысының Әділет департаментінде 2021 жылғы 8 сәуірде № 8551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№55/541-VІ "2021-2023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8300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Қосағаш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61733,0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