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fcf9" w14:textId="168f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55/534-VІ "2021-2023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4/32-VIІ шешімі. Шығыс Қазақстан облысының Әділет департаментінде 2021 жылғы 8 сәуірде № 8545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 3/14-VIІ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55/534-VІ "2021-2023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8317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Ақши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26593,0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1238,0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274,0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2,6 мың теңге.";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4/32-VIІ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Акши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26595,6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