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9123" w14:textId="9729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Қасым Қайсенов кентінің солтүстік-шығысына қарай 0,5 км орналасқан сұралып отырған жер учаскесіндегі Қараөзек өзенінің (оң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3 наурыздағы № 49 қаулысы. Шығыс Қазақстан облысының Әділет департаментінде 2021 жылғы 5 наурызда № 8431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Қасым Қайсенов кентінің солтүстік-шығысына қарай 0,5 км орналасқан сұралып отырған жер учаскесіндегі Қараөзек өзенінің (оң жағалау) су қорғау аймағы мен су қорғау белдеуі;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Қасым Қайсенов кентінің солтүстік-шығысына қарай 0,5 км орналасқан сұралып отырған жер учаскесіндегі Қараөзек өзенінің (оң жағалау) су қорғау аймағы аумағында шаруашылыққа пайдаланудың арнайы режимі және су қорғау белдеуі аумағында шектеулі шаруашылық қызмет режимі белгіленсін.</w:t>
      </w:r>
    </w:p>
    <w:bookmarkStart w:name="z5"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3 наурыздағы </w:t>
            </w:r>
            <w:r>
              <w:br/>
            </w:r>
            <w:r>
              <w:rPr>
                <w:rFonts w:ascii="Times New Roman"/>
                <w:b w:val="false"/>
                <w:i w:val="false"/>
                <w:color w:val="000000"/>
                <w:sz w:val="20"/>
              </w:rPr>
              <w:t>№ 49 қаулысына қосымша</w:t>
            </w:r>
          </w:p>
        </w:tc>
      </w:tr>
    </w:tbl>
    <w:p>
      <w:pPr>
        <w:spacing w:after="0"/>
        <w:ind w:left="0"/>
        <w:jc w:val="left"/>
      </w:pPr>
      <w:r>
        <w:rPr>
          <w:rFonts w:ascii="Times New Roman"/>
          <w:b/>
          <w:i w:val="false"/>
          <w:color w:val="000000"/>
        </w:rPr>
        <w:t xml:space="preserve"> Шығыс Қазақстан облысы Ұлан ауданы Қасым Қайсенов кентінің солтүстік-шығысына қарай 0,5 км орналасқан сұралып отырған жер учаскесіндегі Қараөзек өзенінің (оң жағалау)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2073"/>
        <w:gridCol w:w="2465"/>
        <w:gridCol w:w="1487"/>
        <w:gridCol w:w="1684"/>
        <w:gridCol w:w="2073"/>
        <w:gridCol w:w="1096"/>
      </w:tblGrid>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өзені (оң жағалау)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