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53f6" w14:textId="5985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31 желтоқсандағы № 419 "2021-2023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10 наурыздағы № 20 шешiмi. Түркістан облысының Әдiлет департаментiнде 2021 жылғы 25 наурызда № 6122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31 желтоқсандағы № 419 "2021-2023 жылдарға арналған Кентау қаласы ауыл және ауыл округтерінің бюджеті туралы" (Нормативтік құқықтық актілерді мемлекеттік тіркеу тізілімінде № 6024 тіркелген, 2021 жылғы 19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Байылдыр ауылынын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Ащысай ауылынын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32 347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916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Қарнақ ауылының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 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Хантағы ауылының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Қарашық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44 844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Ораңғай ауылдық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7 687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Иассы ауылдық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Шаға ауылдық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41 861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19 609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19 609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Ескі Иқан ауылдық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Жаңа Иқан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Бабайқорған ауылдық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1 166 мың теңге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Майдантал ауылдық округінің 2021-2023 жылдарға арналған бюджеті 40, 41 және 42-қосымшаларға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Үшқайық ауылдық округінің 2021-2023 жылдарға арналған бюджеті 43, 44 және 45-қосымшаларға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36 934мың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Жібек Жолы ауылдық округінің 2021-2023 жылдарға арналған бюджеті 46, 47 және 48-қосымшаларға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570 мың теңге.".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Кентау қалалық мәслихаттың интернет-ресурсына орналастыруын қамтамасыз етсін.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Жүйнек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Қарашық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Оранғай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Иассы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Ескі Иқан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Иқан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Шорнақ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Бабайқорған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Майдантал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Үшқайық ауылдық округының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