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7169" w14:textId="6097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Жетісай және Келес аудандарындағы елді мекендерді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2021 жылғы 10 желтоқсандағы № 13/141-VII бірлескен шешімі және Түркістан облысы әкiмдiгiнiң 2021 жылғы 22 желтоқсандағы № 281 қаулысы. Қазақстан Республикасының Әділет министрлігінде 2022 жылғы 11 қаңтарда № 26435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облыстық ономастика комиссиясының 2019 жылғы 26 желтоқсандағы және 2021 жылғы 27 сәуірдегі қорытындылары негізінде, халықтың пікірі ескеріле отырып, Түркістан облысының әкімдігі ҚАУЛЫ ЕТЕДІ және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келесі әкімшілік-аумақтық бірліктері: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ауданы бойынша: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ауылдық округінің "40 лет Победы" ауылы "Баянды"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Қазыбек би ауылдық округінің "Карл Маркс" ауылы "Таубай ата"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округінің "Первомайское" ауылы "Алтынкөл"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Қызылқұм ауылдық округінің "Киров" ауылы "Ақбұлақ"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Мақталы ауылдық округінің "Чехов" ауылы "Жетісу" ауылына;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 ауданы бойынша: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округінің "М.Горький" ауылы "Кеңдала"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округінің "Қызыләскер" ауылы "Лесбек батыр"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Ошақты ауылдық округінің "Орджиникидзе" ауылы "Сәмбет Саттаров"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Біртілек ауылдық округінің "Димитрово" ауылы "Ораз ата"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Біртілек ауылдық округінің "Әзербайжан" ауылы "Көлтоған"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ауылдық округінің "Ленинжолы" ауылы "Ақжол"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Қошқарата ауылдық округінің "Первое мая" ауылы "1 Мамыр" ауылына;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округінің "Коммунизм" ауылы "Ащысай" ауылына қайта аталсын.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Түркістан облысы әкімдігінің қаулысы мен Түркістан облыстық мәслихатының шешімін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Түркістан облысы әкімдігінің қаулысы мен Түркістан облыстық мәслихатының шешімін ресми жарияланғаннан кейін Түркістан облысы әкімдігінің интернет-ресурсында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Түркістан облысы әкімдігі қаулысының және Түркістан облыстық мәслихаты шешімінің орындалуын бақылау облыс әкімінің орынбасары С.А.Қалқамановқа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