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b25b" w14:textId="08ab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Полудин ауылдық округінің Полудин ауылындағы кейбір көшел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Полудин ауылдық округі әкімінің 2021 жылғы 20 сәуірдегі № 9 шешімі. Солтүстік Қазақстан облысының Әділет департаментінде 2021 жылғы 21 сәуірде № 73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- 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ономастика комиссиясының 2020 жылғы 29 желтоқсандағы қорытындысы негізінде, Полудин ауылы халқының пікірін ескере отырып, Солтүстік Қазақстан облысы Мағжан Жұмабаев ауданы Полуд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Полудин ауылдық округінің Полудин ауылының келесі көшелеріне қайта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е – Абай Кұнанба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не – Мағжан Жұмаба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не – Достық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көшесіне – Шоқан Уәлихано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не – Ғабит Мүсіреп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е – Н.Ковшова көшес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