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5c8d" w14:textId="3a45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Полудин ауылдық округінің Ганькин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Полудин ауылдық округі әкімінің 2021 жылғы 20 сәуірдегі № 10 шешімі. Солтүстік Қазақстан облысының Әділет департаментінде 2021 жылғы 21 сәуірде № 7311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 комиссиясының 2020 жылғы 29 желтоқсандағы қорытындысы негізінде, Ганькин ауылы халқының пікірін ескере отырып, Солтүстік Қазақстан облысы Мағжан Жұмабаев ауданы Полудин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Мағжан Жұмабаев ауданы Полудин ауылдық округінің Ганькин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Қызылжар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Жеңіс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Бірлік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Арасан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Бәйтерек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Тәуелсіздік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Полудин ауылдық округі Ганькин ауылы атауы жоқ көшелеріне атау беру бойынша схемалық карта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