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8289" w14:textId="4738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бойынша 2021–2022 оқу жылына арналған жергілікті бюджет қаражаты есебінен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25 тамыздағы № 405 қаулысы. Қазақстан Республикасының Әділет министрлігінде 2021 жылғы 26 тамызда № 24124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8) тармақшасына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бойынша 2021–2022 оқу жылына арналған жергілікті бюджет қаражаты есебінен жоғары және жоғары оқу орнынан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2021–2022 оқу жылына арналған жергілікті бюджет қаражаты есебінен жоғары және жоғары оқу орнынан кейінгі білімі бар кадрларды даярлауға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білім кейінгі - резидентурада даярлау бағытының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 бойынша мемлекеттік білім беру тапсырысының көлемі (күндізгі)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алушынының жоғары оқу орындарында оқытуға жұмсалатын шығыстардың орташа құны (ұлттық жоғары оқу орындарын қоспағанда)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(6R112600)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(6R114400)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(6R114300)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(6R114700)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