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432c" w14:textId="add4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әкімдігінің 2021 жылғы 23 ақпандағы № 46 қаулысы. Маңғыстау облысы Әділет департаментінде 2021 жылғы 26 ақпанда № 4460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"Жаңаөзен-Жетыбай-Ақтау" магистральдық газ құбырының желілік бөлігін пайдалану үшін Маңғыстау облысының Ақтау және Жаңаөзен қалаларының, Қарақия, Мұнайлы және Маңғыстау аудандарының әкімшілік шекараларында орналасқан жалпы көлемі 151,9568 гектар жер учаскелеріне "ҚазТрансГаз Аймақ" акционерлік қоғамына жер учаскелерін меншік иелері мен жер пайдаланушылардан алып қоймастан 49 (қырық тоғыз) жыл мерзімге қауымдық сервитут белгіленсін.</w:t>
      </w:r>
    </w:p>
    <w:bookmarkEnd w:id="1"/>
    <w:bookmarkStart w:name="z2" w:id="2"/>
    <w:p>
      <w:pPr>
        <w:spacing w:after="0"/>
        <w:ind w:left="0"/>
        <w:jc w:val="both"/>
      </w:pPr>
      <w:r>
        <w:rPr>
          <w:rFonts w:ascii="Times New Roman"/>
          <w:b w:val="false"/>
          <w:i w:val="false"/>
          <w:color w:val="000000"/>
          <w:sz w:val="28"/>
        </w:rPr>
        <w:t>
      2. "Маңғыстау облысының жер қатынастары басқармасы" мемлекеттік мекемесі (Е.Д. Дүзмағамбетов):</w:t>
      </w:r>
    </w:p>
    <w:bookmarkEnd w:id="2"/>
    <w:bookmarkStart w:name="z3" w:id="3"/>
    <w:p>
      <w:pPr>
        <w:spacing w:after="0"/>
        <w:ind w:left="0"/>
        <w:jc w:val="both"/>
      </w:pPr>
      <w:r>
        <w:rPr>
          <w:rFonts w:ascii="Times New Roman"/>
          <w:b w:val="false"/>
          <w:i w:val="false"/>
          <w:color w:val="000000"/>
          <w:sz w:val="28"/>
        </w:rPr>
        <w:t>
      осы қаулының әділет органдарында мемлекеттік тіркелуін;</w:t>
      </w:r>
    </w:p>
    <w:bookmarkEnd w:id="3"/>
    <w:bookmarkStart w:name="z4" w:id="4"/>
    <w:p>
      <w:pPr>
        <w:spacing w:after="0"/>
        <w:ind w:left="0"/>
        <w:jc w:val="both"/>
      </w:pPr>
      <w:r>
        <w:rPr>
          <w:rFonts w:ascii="Times New Roman"/>
          <w:b w:val="false"/>
          <w:i w:val="false"/>
          <w:color w:val="000000"/>
          <w:sz w:val="28"/>
        </w:rPr>
        <w:t>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xml:space="preserve">
      осы қаулыдан туындайтын өзге де шараларды қабылдасын. </w:t>
      </w:r>
    </w:p>
    <w:bookmarkEnd w:id="5"/>
    <w:bookmarkStart w:name="z6" w:id="6"/>
    <w:p>
      <w:pPr>
        <w:spacing w:after="0"/>
        <w:ind w:left="0"/>
        <w:jc w:val="both"/>
      </w:pPr>
      <w:r>
        <w:rPr>
          <w:rFonts w:ascii="Times New Roman"/>
          <w:b w:val="false"/>
          <w:i w:val="false"/>
          <w:color w:val="000000"/>
          <w:sz w:val="28"/>
        </w:rPr>
        <w:t>
      3. Осы қаулының орындалуын бақылау Маңғыстау облысы әкімінің жетекшілік ететін орынбасарына жүктелсін.</w:t>
      </w:r>
    </w:p>
    <w:bookmarkEnd w:id="6"/>
    <w:bookmarkStart w:name="z7"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 қаулысына қосымша</w:t>
            </w:r>
          </w:p>
        </w:tc>
      </w:tr>
    </w:tbl>
    <w:bookmarkStart w:name="z11" w:id="8"/>
    <w:p>
      <w:pPr>
        <w:spacing w:after="0"/>
        <w:ind w:left="0"/>
        <w:jc w:val="left"/>
      </w:pPr>
      <w:r>
        <w:rPr>
          <w:rFonts w:ascii="Times New Roman"/>
          <w:b/>
          <w:i w:val="false"/>
          <w:color w:val="000000"/>
        </w:rPr>
        <w:t xml:space="preserve"> "Жаңаөзен-Жетыбай-Ақтау" магистральды газ құбырын пайдалану үшін қауымдық сервитут белгіленетін жер учаскелерінің көлемі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1995"/>
        <w:gridCol w:w="7183"/>
        <w:gridCol w:w="1562"/>
      </w:tblGrid>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сервитутпен белгіленген жерлер, гектар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r>
      <w:tr>
        <w:trPr>
          <w:trHeight w:val="30" w:hRule="atLeast"/>
        </w:trPr>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0,0848</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0,0759</w:t>
            </w:r>
          </w:p>
        </w:tc>
        <w:tc>
          <w:tcPr>
            <w:tcW w:w="0" w:type="auto"/>
            <w:vMerge/>
            <w:tcBorders>
              <w:top w:val="nil"/>
              <w:left w:val="single" w:color="cfcfcf" w:sz="5"/>
              <w:bottom w:val="single" w:color="cfcfcf" w:sz="5"/>
              <w:right w:val="single" w:color="cfcfcf" w:sz="5"/>
            </w:tcBorders>
          </w:tcPr>
          <w:p/>
        </w:tc>
      </w:tr>
      <w:tr>
        <w:trPr>
          <w:trHeight w:val="30" w:hRule="atLeast"/>
        </w:trPr>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0,1082</w:t>
            </w:r>
          </w:p>
        </w:tc>
        <w:tc>
          <w:tcPr>
            <w:tcW w:w="0" w:type="auto"/>
            <w:vMerge/>
            <w:tcBorders>
              <w:top w:val="nil"/>
              <w:left w:val="single" w:color="cfcfcf" w:sz="5"/>
              <w:bottom w:val="single" w:color="cfcfcf" w:sz="5"/>
              <w:right w:val="single" w:color="cfcfcf" w:sz="5"/>
            </w:tcBorders>
          </w:tcPr>
          <w:p/>
        </w:tc>
      </w:tr>
      <w:tr>
        <w:trPr>
          <w:trHeight w:val="30" w:hRule="atLeast"/>
        </w:trPr>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8,0552</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5,2184</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0" w:type="auto"/>
            <w:vMerge/>
            <w:tcBorders>
              <w:top w:val="nil"/>
              <w:left w:val="single" w:color="cfcfcf" w:sz="5"/>
              <w:bottom w:val="single" w:color="cfcfcf" w:sz="5"/>
              <w:right w:val="single" w:color="cfcfcf" w:sz="5"/>
            </w:tcBorders>
          </w:tcPr>
          <w:p/>
        </w:tc>
      </w:tr>
      <w:tr>
        <w:trPr>
          <w:trHeight w:val="30" w:hRule="atLeast"/>
        </w:trPr>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12,0206</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12,0204</w:t>
            </w:r>
          </w:p>
        </w:tc>
        <w:tc>
          <w:tcPr>
            <w:tcW w:w="0" w:type="auto"/>
            <w:vMerge/>
            <w:tcBorders>
              <w:top w:val="nil"/>
              <w:left w:val="single" w:color="cfcfcf" w:sz="5"/>
              <w:bottom w:val="single" w:color="cfcfcf" w:sz="5"/>
              <w:right w:val="single" w:color="cfcfcf" w:sz="5"/>
            </w:tcBorders>
          </w:tcPr>
          <w:p/>
        </w:tc>
      </w:tr>
      <w:tr>
        <w:trPr>
          <w:trHeight w:val="30" w:hRule="atLeast"/>
        </w:trPr>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3,6582</w:t>
            </w:r>
          </w:p>
        </w:tc>
        <w:tc>
          <w:tcPr>
            <w:tcW w:w="0" w:type="auto"/>
            <w:vMerge/>
            <w:tcBorders>
              <w:top w:val="nil"/>
              <w:left w:val="single" w:color="cfcfcf" w:sz="5"/>
              <w:bottom w:val="single" w:color="cfcfcf" w:sz="5"/>
              <w:right w:val="single" w:color="cfcfcf" w:sz="5"/>
            </w:tcBorders>
          </w:tcP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151,9568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