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f598" w14:textId="7e2f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рұқсат етілген шекті бөлшек сауда бағаларының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2021 жылғы 8 шілдедегі № 301 қаулысы. Қазақстан Республикасының Әділет министрлігінде 2021 жылғы 9 шілдеде № 23380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11245 нөмірімен тіркелген) және Әлеуметтік маңызы бар азық-түлік тауарларына бөлшек сауда бағаларының шекті рұқсат етілген мөлшерін бекіту жөніндегі комиссия отырысының 2021 жылғы 16 сәуірдегі № 06-4/2008 хаттамасына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Әлеуметтік маңызы бар азық-түлік тауарларына рұқсат етілген шекті бөлшек сауда бағаларының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3"/>
    <w:bookmarkStart w:name="z8"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шілдедегі № 301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3" w:id="5"/>
    <w:p>
      <w:pPr>
        <w:spacing w:after="0"/>
        <w:ind w:left="0"/>
        <w:jc w:val="left"/>
      </w:pPr>
      <w:r>
        <w:rPr>
          <w:rFonts w:ascii="Times New Roman"/>
          <w:b/>
          <w:i w:val="false"/>
          <w:color w:val="000000"/>
        </w:rPr>
        <w:t xml:space="preserve"> Әлеуметтік маңызы бар азық-түлік тауарларына рұқсат етілген шекті бөлшек сауда бағаларының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