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4341" w14:textId="e56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9 желтоқсандағы № 95 шешімі. Қазақстан Республикасының Әділет министрлігінде 2021 жылғы 10 желтоқсанда № 25702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сертификаттарын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түрі ретінде тұрғын үй сертификатының сомасы әрбір алушы үшін 1500 000 (бір миллион бес жүз мың) теңгеден артық емес.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түрі ретінде тұрғын үй сертификатының сомасы әрбір алушы үшін 1 500 000 (бір миллион бес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Нұра аудандық мәслихатының 13.07.2023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балалары бар немесе оларды тәрбиелеп отырған отбасылар.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отбасылар.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және халықты әлеуметтік қорғау Министрінің 2019 жылғы 29 наурыздағы № 154 бұйрығымен бекітілген (Нормативтік құқықтық актілерді мемлекеттік тіркеу тізілімінде № 18445 болып тіркелген) еңбек және жұмыспен қамту статистикасы бойынша статистикалық байқауларды талдау негізінде, сондай-ақ Еңбек ресурстарын болжаудың және оның нәтижелерін пайдаланудың ұлттық жүйесін 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