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48ea" w14:textId="b304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20 жылғы 18 маусымдағы № VI-57/484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21 жылғы 19 тамыздағы № VII - 10/80 шешімі. Қазақстан Республикасының Әділет министрлігінде 2021 жылғы 31 тамызда № 24176 болып тіркелді</w:t>
      </w:r>
    </w:p>
    <w:p>
      <w:pPr>
        <w:spacing w:after="0"/>
        <w:ind w:left="0"/>
        <w:jc w:val="both"/>
      </w:pPr>
      <w:bookmarkStart w:name="z4" w:id="0"/>
      <w:r>
        <w:rPr>
          <w:rFonts w:ascii="Times New Roman"/>
          <w:b w:val="false"/>
          <w:i w:val="false"/>
          <w:color w:val="000000"/>
          <w:sz w:val="28"/>
        </w:rPr>
        <w:t>
      Қарқарал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рқаралы ауданы мәслихатының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жиырма бес пайызға жоғарылатылған лауазымдық айлықақылар мен тарифтік мөлшерлемелер белгілеу туралы" 2020 жылғы 18 маусымдағы № VI-57/4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