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1424" w14:textId="2bf1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2020 жылғы 24 желтоқсандағы LIV сессиясының № 444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2021 жылғы 31 наурыздағы № 19 шешімі. Қарағанды облысының Әділет департаментінде 2021 жылғы 12 сәуірде № 6294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2020 жылғы 24 желтоқсандағы LIV сессиясының № 444 "2021-2023 жылдарға арналған қалалық бюджет туралы" (нормативтік құқықтық актілерді мемлекеттік тіркеу Тізілімінде 21941 нөмерімен тіркелген, 2020 жылғы 29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5 948 804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2 209 083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6 769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3 730 082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6 294 913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346 109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346 109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346 109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санаторийлы-курорттық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бағдарламасын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мекен- жайы бойынша орналасқан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