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908" w14:textId="03b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жергiлiктi маңызы бар тарих және мәдениет ескерткіштерінің мемлекеттік тізімін бекіту туралы" Жамбыл облысы әкімдігінің 2020 жылғы 1 шілдедегі №148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28 желтоқсандағы № 311 қаулысы. Қазақстан Республикасының Әділет министрлігінде 2022 жылғы 5 қаңтарда № 26349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жергілікті маңызы бар тарих және мәдениет ескерткіштерінің мемлекеттік тізімін бекіту туралы" Жамбыл облысы әкімдігінің 2020 жылғы 1 шілдедегі №148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 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Жамбыл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664, 673, 674, 692, 693, 694, 697, 698, 699, 701, 702, 703, 705 жолдары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мәдениет, архивтер және құжаттама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Жамбыл облысы әкімінің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