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0bb" w14:textId="a106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Шымкент қаласының бюджеті туралы" 2020 жылғы 15 желтоқсандағы № 72/651-6с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15 маусымдағы № 6/43-VII шешiмi. Қазақстан Республикасының Әділет министрлігінде 2021 жылғы 22 маусымда № 23154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"2021-2023 жылдарға арналған Шымкент қаласының бюджеті туралы" 2020 жылғы 15 желтоқсандағы №72/651-6с (Нормативтік құқықтық актілерді мемлекеттік тіркеу тізілімінде №143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2021-2023 жылдарға арналған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434 295 438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141 452 462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2 191 875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16 011 783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274 639 318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459 620 498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2 816 112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4 034 687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4 034 687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- 32 175 859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32 175 859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-31 270 948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