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fa036" w14:textId="c3fa0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Мәртөк ауданы Байторысай ауылдық округінің Байторысай және Покровка ауылдарының кейбір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Мәртөк ауданы Байторысай ауылдық округі әкімінің 2021 жылғы 18 қарашадағы № 6 шешімі. Қазақстан Республикасының Әділет министрлігінде 2021 жылғы 22 қарашада № 25293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Байторысай ауылдық округінің Байторысай және Покровка ауылдары халқының пікірін ескере отырып және Ақтөбе облысы әкімдігі жанындағы облыстық ономастика комиссиясының 2021 жылғы 26 наурыздағы № 1 қорытындысы негізінде, ШЕШТІМ: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Байторысай ауылдық округі Байторысай ауылының келесідей көшелері: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"Тың" көшесі – "Наурызбай"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"Набережная" көшесі – "Саржайлау" көшесіне қайта аталсын.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Байторысай ауылдық округі Покровка ауылының келесі көшесі: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"Д. Кузьменко" көшесі – "Жамбыл" көшесіне қайта аталсын.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Байторысай ауылдық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Ажниязова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