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d289" w14:textId="c4cd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ың Темірбек Жүргенов ауылдық округінің Темірбек Жүргенов ауылындағы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Темірбек Жүргенов әкімінің 2021 жылғы 12 қаңтардағы № 02 шешімі. Ақтөбе облысының Әділет департаментінде 2021 жылғы 22 қаңтарда № 802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емірбек Жүргенов ауылы халқының пікірін ескере отырып және Ақтөбе облысының әкімдігі жанындағы ономастикалық комиссиясының 2018 жылғы 20 желтоқсандағы қорытындысы негізінде Темірбек Жүргенов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ның Темірбек Жүргенов ауылдық округінің Темірбек Жүргенов ауылының атаусыз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дәу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лагер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Әйтеке би ауданы Темірбек Жүргенов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бек Жүрген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ек Жүргенов ауылдық округінің әкімі 2021 жылғы 12 қаңтардағы № 0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бек Жүргенов ауылының атаусыз көшесіне "Алаш" атауын беру туралы № 1 схемалық қарт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бек Жүргенов ауылының атаусыз көшесіне "Береке" атауын беру туралы № 2 схемалық қарт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бек Жүргенов ауылының атаусыз көшесіне "Алтын адам" атауын беру туралы № 3 схемалық қарт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бек Жүргенов ауылының атаусыз көшесіне "Бірлік" атауын беру туралы № 4 схемалық қарт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бек Жүргенов ауылының атаусыз көшесіне "Тәуелсіздік" атауын беру туралы № 5 схемалық қарт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бек Жүргенов ауылының атаусыз көшесіне "Астана" атауын беру туралы № 6 схемалық қарт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бек Жүргенов ауылының атаусыз көшесіне "Жаңа дәуір" атауын беру туралы № 7 схемалық қарт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бек Жүргенов ауылының атаусыз көшесіне "Құлагер" атауын беру туралы № 8 схемалық қарт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