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f971" w14:textId="2a6f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2020 жылғы 25 желтоқсандағы № С-71/2 "2021-2023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14 сәуірдегі № 7С-4/2 шешімі. Ақмола облысының Әділет департаментінде 2021 жылғы 21 сәуірде № 8439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"2021-2023 жылдарға арналған кенттердің, ауылдық округтердің бюджеттері туралы" 2020 жылғы 25 желтоқсандағы № С-71/2 (Нормативтік құқықтық актілерді мемлекеттік тіркеу тізілімінде № 8327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Шортанды кентінің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Жолымбет кентінің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Дамса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35 856,7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(-6 271,6)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6 271,6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Новокубанка ауылдық округінің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(-3 300)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Бозайғыр ауылдық округінің бюджеті тиісінше 13, 14 және 15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Бектау ауылдық округінің бюджеті тиісінше 16, 17 және 18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17 324,6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Петровка ауылдық округінің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Андреевка ауылдық округінің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Раевка ауылдық округінің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16 018,9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Пригородный ауылдық округінің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Новоселовка ауылдық округінің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11 016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Бектау ауылдық округінің бюджеті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