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521b" w14:textId="04c5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25 желтоқсандағы № 6С-67/2 "2021-2023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29 наурыздағы № 7С-7/2 шешімі. Ақмола облысының Әділет департаментінде 2021 жылғы 5 сәуірде № 8418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Жарқайың ауданының Державин қаласы, ауылдық округтері мен ауылдарының бюджеттері туралы" 2020 жылғы 25 желтоқсандағы № 6С-67/2 (Нормативтік құқықтық актілерді мемлекеттік тіркеу тізілімінде № 8323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Державин қаласының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- 71136,0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- 91541,0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- 20405,0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Уәлихан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- 2767,0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Костычево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- 571,0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бюджеттік субвенциялар 12033,0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ағымдағы нысаналы трансферттер 538,0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Нахимов ауылдық округінің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Отрадный ауылдық округінің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- 19603,0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Жаңадала ауылдық округінің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- 33288,0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- 2004,0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бюджеттік субвенциялар 20031,0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ағымдағы нысаналы трансферттер 10416,0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Бірсуат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- 13497,0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бюджеттік субвенциялар 10207,0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ағымдағы нысаналы трансферттер 1690,0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Гастелло ауылының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- 17897,0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- 1428,0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бюджеттік субвенциялар 10740,0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ағымдағы нысаналы трансферттер 5507,0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Далабай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- 408,0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бюджеттік субвенциялар 10371,0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ағымдағы нысаналы трансферттер 5718,0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Құмсуат ауылының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бюджеттік субвенциялар 10315,0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ағымдағы нысаналы трансферттер 413,0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Львов ауылының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- 11955,0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- 1177,0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бюджеттік субвенциялар 10595,0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ағымдағы нысаналы трансферттер 160,0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Пригород ауылының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бюджеттік субвенциялар 12543,0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ағымдағы нысаналы трансферттер 5300,0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Пятигор ауылының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- 11582,0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бюджеттік субвенциялар 10177,0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ағымдағы нысаналы трансферттер 335,0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Тасөткел ауылының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- 12581,0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бюджеттік субвенциялар 11761,0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ағымдағы нысаналы трансферттер 320,0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Тассуат ауылының бюджеті тиісінше 43, 44 және 45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бюджеттік субвенциялар 9324,0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ағымдағы нысаналы трансферттер 5300,0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Үшқарасу ауылының бюджеті тиісінше 46, 47 және 48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бюджеттік субвенциялар 9757,0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ағымдағы нысаналы трансферттер 520,0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Шойындыкөл ауылының бюджеті тиісінше 49, 50 және 51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-13720,0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бюджеттік субвенциялар 10795,0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ағымдағы нысаналы трансферттер 325,0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Р.Садвакасова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