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8b8d" w14:textId="c928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25 желтоқсандағы № 82/2 "2021-2023 жылдарға арналған Есіл қаласының, Красногорский кентінің, ауылдардың және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9 наурыздағы № 3/3 шешімі. Ақмола облысының Әділет департаментінде 2021 жылғы 12 наурызда № 8385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Есіл қаласының, Красногорский кентінің, ауылдардың және ауылдық округтердің бюджеттері туралы" 2020 жылғы 25 желтоқсандағы № 82/2 (Нормативтік құқықтық актілерді мемлекеттік тіркеу тізілімінде № 8324 тіркелген, 2021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- 138889,9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(- 3079,9)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- 3079,9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- 15239,2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(- 1693,2) мың теңге;";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- 1693,2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- 17167,5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(- 1520,5)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- 1520,5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- 19078,8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(- 4947,8) мың теңге;";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- 4947,8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- 17743,9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(- 2810,9) мың теңге;";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- 2810,9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(- 3378,8) мың теңге;";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- 3378,8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- 12496,8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(- 849,8) мың теңге;";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- 14023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(- 783) мың теңге;";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- 783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- 16373,5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(- 1416,5) мың теңге;";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- 1416,5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- 31635,8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(- 3517,8) мың теңге;";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- 3517,8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- 14722,7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(- 1395,7) мың теңге;";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- 1395,7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- 12973,6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(- 960,6) мың теңге;";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- 960,6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- 11781,5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(- 729,5) мың теңге;";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- 729,5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- 22484,3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(- 2326,3) мың теңге;";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- 2326,3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3), 4), 5) тармақшалары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- 13882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(- 809) мың теңге;";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тармақшасымен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- 809 мың теңге.";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80163,9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Бұзылық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Двуречный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Жаныспай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Знаменка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Интернациональный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Красивинский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Красногорский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Московский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Свободный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Юбилейный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