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7c8" w14:textId="f7c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ауылдық жеріне және кенттеріне,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21 желтоқсандағы № 7С-13-3 шешімі. Қазақстан Республикасының Әділет министрлігінде 2021 жылғы 22 желтоқсанда № 25904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ауылдық жеріне және кенттеріне,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облыстық мәслихатының келесі шешімінің және шешімнің құрылымдық элементінің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"Бюджет қаражаты есебінен Ақмола облысының ауылдық жеріне жұмысқа жіберілген медицина және фармацевтика қызметкерлеріне әлеуметтік қолдау көрсетудің тәртібі мен мөлшерін айқындау туралы" Ақмола облыстық мәслихатының 2019 жылғы 25 қазандағы № 6С-38-6 (Нормативтік құқықтық актілерді мемлекеттік тіркеу тізілімінде № 7445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"Ақмола облыстық мәслихатының кейбір шешімдеріне өзгерістер енгізу туралы" Ақмола облыстық мәслихатының 2021 жылғы 26 ақпандағы № 7С-3-5 (Нормативтік құқықтық актілерді мемлекеттік тіркеу тізілімінде № 8455 болып тіркелген) шешімінің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ауылдық жеріне және кенттеріне,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Тәртiп Қазақстан Республикасының "Халық денсаулығы және денсаулық сақтау жүйесi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әзiрлендi, Ақмола облысының ауылдық жерiне және кенттеріне, аудандық және облыстық маңызы бар қалаларына жұмысқа жiберiлген медицина және фармацевтика қызметкерлерiне (бұдан әрi - қызметкерлер) бюджет қаражаты есебiнен әлеуметтiк қолдау көрсету тәртiбi мен мөлшерiн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Әлеуметтiк қолдау көрсету жөнiндегi уәкiлеттi орган – "Ақмола облысының денсаулық сақтау басқармасы" мемлекеттiк мекемесi (бұдан әрi - уәкiлеттi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берушi - тиiстi бюджеттен қаржыландырылатын мемлекеттік денсаулық сақтау ұйымы.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Медицина қызметкерi - жоғары кәсіптік медициналық бiлiмі бар және медициналық қызметті жүзеге асыратын жеке тұлға.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Фармацевтика қызметкерi - жоғары фармацевтикалық бiлiмі бар және фармацевтикалық қызметті жүзеге асыратын жеке тұлға.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Медицина және фармацевтика қызметкерлерiне әлеуметтiк қолдау көрсету тәртiбi мен мөлшерi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Әлеуметтiк қолдау мынадай бір жолғы төлемнен тұрады: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Ақмола облысының облыстық маңызы бар қалаларына жұмысқа жіберілген қызметкерлерге 2 500 000 (екі миллион бес жүз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Ақмола облысының аудандық маңызы бар қалаларына, ауылдық жеріне және кенттеріне жұмысқа жіберілген қызметкерлерге 5 000 000 (бес миллион) теңге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облыстық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8С-7-6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Қызметкерлер әлеуметтік қолдау алу үшін уәкілетті органға мына құжаттарды ұсынады: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куәлiгiнiң көшiрмесi;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кәсіптік бiлiмі туралы дипломының көшiрмесi;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еткенін растайтын құжатының көшiрмесi (Қазақстан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мемлекеттiк медицина ұйымына жұмысқа қабылдау туралы бұйрықтың көшiрмесi.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Әлеуметтік қолдау көрсету туралы құжаттарды қарауды комиссия жүзеге асырады.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саны кемінде бес адамды құрауы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лауазымы бойынша уәкілетті орган басшысының орынбасарынан төмен емес тұлға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комиссия мүшесі болып табылмайды.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мына функцияларды жүзеге асырады: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қызметкерлер ұсынған құжаттарды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қызметкерлерге әлеуметтік қолдау ұсыну не ұсынудан бас тарту туралы шешім қабылдайды.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қызметкерлер ұсынған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қарайды және он бес жұмыс күні ішінде шешім қабылдайды.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Бiржолғы төлем қызметкерлердің өтiнiшiнiң негiзiнде, екiншi деңгейлi банкте ашылған есептiк шотына аудару арқылы отыз күнтізбелік күн ішінде төленедi.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Қызметкерлерге әлеуметтiк қолдау көрсету облыстық бюджеттiң қаражаты есебiнен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үш жұмыс күні ішінде қызметкерлерге комиссияның қабылдаған шешімі туралы хабарлайды.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Қызметкерлермен еңбек шарты мерзімінен бұрын бұзылған жағдайда, жұмыс беруші үш жұмыс күнінен кешіктірмей уәкілетті органға хабарлайды.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Қызметкерлер төленген әлеуметтік қолдауды қайтаруды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күнтізбелік отыз күн ішінде жұмыс істеген уақытына тепе-тең жүргізеді.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