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0a029" w14:textId="e70a0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24 желтоқсандағы № 1335 бұйрығы. Қазақстан Республикасының Әділет министрлігінде 2021 жылғы 27 желтоқсанда № 26067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202-тармақта</w:t>
      </w:r>
      <w:r>
        <w:rPr>
          <w:rFonts w:ascii="Times New Roman"/>
          <w:b w:val="false"/>
          <w:i w:val="false"/>
          <w:color w:val="000000"/>
          <w:sz w:val="28"/>
        </w:rPr>
        <w:t xml:space="preserve"> орыс тіліндегі мәтініне өзгеріс енгізілді, мемлекеттік тілдегі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269-тармақтың</w:t>
      </w:r>
      <w:r>
        <w:rPr>
          <w:rFonts w:ascii="Times New Roman"/>
          <w:b w:val="false"/>
          <w:i w:val="false"/>
          <w:color w:val="000000"/>
          <w:sz w:val="28"/>
        </w:rPr>
        <w:t xml:space="preserve"> екінші бөлігі мынадай редакцияда жазылсын:</w:t>
      </w:r>
    </w:p>
    <w:bookmarkStart w:name="z6" w:id="3"/>
    <w:p>
      <w:pPr>
        <w:spacing w:after="0"/>
        <w:ind w:left="0"/>
        <w:jc w:val="both"/>
      </w:pPr>
      <w:r>
        <w:rPr>
          <w:rFonts w:ascii="Times New Roman"/>
          <w:b w:val="false"/>
          <w:i w:val="false"/>
          <w:color w:val="000000"/>
          <w:sz w:val="28"/>
        </w:rPr>
        <w:t>
      "Кірістері бойынша түсімдер сомасын есептеу кезінде 902-шотқа (құжаттарда 2-28-нысан бойынша төлем тапсырмаларындағы көрсетілген деректемелер болмаған немесе дұрыс болмаған кезде) аумақтық қазынашылық органы соманы ақшаны жөнелтушіге не мемлекеттік мекеменің хаты негізінде деректемелерді нақтылаған кезде тиісті бюджеттің кірісіне есептейді.";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378-4-тармақтың</w:t>
      </w:r>
      <w:r>
        <w:rPr>
          <w:rFonts w:ascii="Times New Roman"/>
          <w:b w:val="false"/>
          <w:i w:val="false"/>
          <w:color w:val="000000"/>
          <w:sz w:val="28"/>
        </w:rPr>
        <w:t xml:space="preserve"> төртінші бөлігі мынадай редакцияда жазылсын:</w:t>
      </w:r>
    </w:p>
    <w:bookmarkStart w:name="z8" w:id="4"/>
    <w:p>
      <w:pPr>
        <w:spacing w:after="0"/>
        <w:ind w:left="0"/>
        <w:jc w:val="both"/>
      </w:pPr>
      <w:r>
        <w:rPr>
          <w:rFonts w:ascii="Times New Roman"/>
          <w:b w:val="false"/>
          <w:i w:val="false"/>
          <w:color w:val="000000"/>
          <w:sz w:val="28"/>
        </w:rPr>
        <w:t>
      "Қазынашылық қолдау жобалау-сметалық құжаттамаға сәйкес сметалық құны екі миллиард теңгеден асатын құрылыспен байланысты бюджеттік инвестициялық жобаларға қатысты қолданылады.";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378-5-тармақ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"378-5. Аумақтық қазынашылықтың органдары төлемдерді жүргізген кезде қазынашылық қолдау кезіндегі бас мердігермен инжинирингтік компанияның төлем сертификатына және ЭШФ, ал қазынашылық қолдау кезінде қосалқы мердігермен - ЭШФ-ға сәйкес бақылауды жүзеге асырады.";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378-21-тармақ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"378-21. Қазынашылық қолдау кезіндегі бас мердігерлердің және қазынашылық қолдау кезіндегі қосалқы мердігерлердің төлемдері және (немесе) ақша аударымдары МСА шоттарында қалған ақша қалдықтарының шегінде қазынашылық қолдау кезіндегі бас мердігерлер және қазынашылық қолдау кезіндегі қосалқы мердігерлермен № 208 қаулымен белгіленген нысан бойынша төлем тапсырмасын қалыптастыру жолымен жүргізіледі.</w:t>
      </w:r>
    </w:p>
    <w:bookmarkEnd w:id="6"/>
    <w:p>
      <w:pPr>
        <w:spacing w:after="0"/>
        <w:ind w:left="0"/>
        <w:jc w:val="both"/>
      </w:pPr>
      <w:r>
        <w:rPr>
          <w:rFonts w:ascii="Times New Roman"/>
          <w:b w:val="false"/>
          <w:i w:val="false"/>
          <w:color w:val="000000"/>
          <w:sz w:val="28"/>
        </w:rPr>
        <w:t>
      Төлем тапсырмасын қалыптастыру үшін негіз:</w:t>
      </w:r>
    </w:p>
    <w:p>
      <w:pPr>
        <w:spacing w:after="0"/>
        <w:ind w:left="0"/>
        <w:jc w:val="both"/>
      </w:pPr>
      <w:r>
        <w:rPr>
          <w:rFonts w:ascii="Times New Roman"/>
          <w:b w:val="false"/>
          <w:i w:val="false"/>
          <w:color w:val="000000"/>
          <w:sz w:val="28"/>
        </w:rPr>
        <w:t>
      қазынашылық қолдау кезіндегі бас мердігерлер үшін – инжинирингтік компанияның төлем сертификаты, ЭШФ;</w:t>
      </w:r>
    </w:p>
    <w:p>
      <w:pPr>
        <w:spacing w:after="0"/>
        <w:ind w:left="0"/>
        <w:jc w:val="both"/>
      </w:pPr>
      <w:r>
        <w:rPr>
          <w:rFonts w:ascii="Times New Roman"/>
          <w:b w:val="false"/>
          <w:i w:val="false"/>
          <w:color w:val="000000"/>
          <w:sz w:val="28"/>
        </w:rPr>
        <w:t>
      қазынашылық қолдау кезіндегі қосалқы мердігерлер үшін – ЭШФ;</w:t>
      </w:r>
    </w:p>
    <w:p>
      <w:pPr>
        <w:spacing w:after="0"/>
        <w:ind w:left="0"/>
        <w:jc w:val="both"/>
      </w:pPr>
      <w:r>
        <w:rPr>
          <w:rFonts w:ascii="Times New Roman"/>
          <w:b w:val="false"/>
          <w:i w:val="false"/>
          <w:color w:val="000000"/>
          <w:sz w:val="28"/>
        </w:rPr>
        <w:t>
      қазынашылық қолдау кезіндегі бас мердігерлер мен қосалқы мердігерлер үшін өз қаражаты есебінен жүргізілген ағымдағы шығындарды өтеу кезінде инжинирингтік компанияның төлем сертификаты болып табылады.</w:t>
      </w:r>
    </w:p>
    <w:p>
      <w:pPr>
        <w:spacing w:after="0"/>
        <w:ind w:left="0"/>
        <w:jc w:val="both"/>
      </w:pPr>
      <w:r>
        <w:rPr>
          <w:rFonts w:ascii="Times New Roman"/>
          <w:b w:val="false"/>
          <w:i w:val="false"/>
          <w:color w:val="000000"/>
          <w:sz w:val="28"/>
        </w:rPr>
        <w:t>
      Қазынашылық қолдау кезінде бас мердігердің үстеме шығыстарды төлеуі Қазақстан Республикасы сәулет, қала құрылысы және құрылыс қызметі туралы заңнамасына сәйкес инжинирингтік компанияның төлем тапсырмасы және төлем сертификаты негізінде олардың екінші деңгейдегі банктерде ашылған шоттарға жүзеге асырылады.</w:t>
      </w:r>
    </w:p>
    <w:p>
      <w:pPr>
        <w:spacing w:after="0"/>
        <w:ind w:left="0"/>
        <w:jc w:val="both"/>
      </w:pPr>
      <w:r>
        <w:rPr>
          <w:rFonts w:ascii="Times New Roman"/>
          <w:b w:val="false"/>
          <w:i w:val="false"/>
          <w:color w:val="000000"/>
          <w:sz w:val="28"/>
        </w:rPr>
        <w:t>
      Қазынашылық қолдау кезінде бас мердігерлер және қазынашылық қолдау кезінде қосалқы мердігерлер аумақтық қазынашылық органдарына осы тармақта көрсетілген құжаттарды қоса төлем тапсырмасын ұсынуды қамтамасыз етеді.</w:t>
      </w:r>
    </w:p>
    <w:p>
      <w:pPr>
        <w:spacing w:after="0"/>
        <w:ind w:left="0"/>
        <w:jc w:val="both"/>
      </w:pPr>
      <w:r>
        <w:rPr>
          <w:rFonts w:ascii="Times New Roman"/>
          <w:b w:val="false"/>
          <w:i w:val="false"/>
          <w:color w:val="000000"/>
          <w:sz w:val="28"/>
        </w:rPr>
        <w:t>
      Қазынашылықта ашылған шоттардан бас мердігердің немесе қосалқы мердігердің өз қаражаты есебінен жүргізілген ағымдағы шығындарды өтеу кезінде екінші деңгейдегі банктерде бас мердігердің немесе қосалқы мердігердің шоттарына төлем өтеуге жататын жүргізілген шығындарды көрсете отырып, төлем сертификаты негізінде жүргізіледі.</w:t>
      </w:r>
    </w:p>
    <w:p>
      <w:pPr>
        <w:spacing w:after="0"/>
        <w:ind w:left="0"/>
        <w:jc w:val="both"/>
      </w:pPr>
      <w:r>
        <w:rPr>
          <w:rFonts w:ascii="Times New Roman"/>
          <w:b w:val="false"/>
          <w:i w:val="false"/>
          <w:color w:val="000000"/>
          <w:sz w:val="28"/>
        </w:rPr>
        <w:t>
      Бас мердігердің немесе қосалқы мердігердің өз қаражаты есебінен қазынашылықта ашылған шоттардан бас мердігердің немесе қосалқы мердігердің екінші деңгейдегі банктерге жүргізген ағымдағы шығындарын өтеуге тапсырыс беруші мен бас мердігердің арасында жасалған мемлекеттік сатып алу шартында аванс беру талаптары болмаған кезде ғана жол беріледі.</w:t>
      </w:r>
    </w:p>
    <w:p>
      <w:pPr>
        <w:spacing w:after="0"/>
        <w:ind w:left="0"/>
        <w:jc w:val="both"/>
      </w:pPr>
      <w:r>
        <w:rPr>
          <w:rFonts w:ascii="Times New Roman"/>
          <w:b w:val="false"/>
          <w:i w:val="false"/>
          <w:color w:val="000000"/>
          <w:sz w:val="28"/>
        </w:rPr>
        <w:t>
      Тауарларды (жұмыстар орындауды, қызметтер көрсетуді) сатып алу үшін төлемдерді ақшаны түпкілікті алушы қосалқы мердігерлерге (тауарларды, жұмыстарды, қызметтерді өндірушілерге) екінші деңгейдегі банкте ашық шоттарға аударуды:</w:t>
      </w:r>
    </w:p>
    <w:p>
      <w:pPr>
        <w:spacing w:after="0"/>
        <w:ind w:left="0"/>
        <w:jc w:val="both"/>
      </w:pPr>
      <w:r>
        <w:rPr>
          <w:rFonts w:ascii="Times New Roman"/>
          <w:b w:val="false"/>
          <w:i w:val="false"/>
          <w:color w:val="000000"/>
          <w:sz w:val="28"/>
        </w:rPr>
        <w:t>
      бас мердігерлер төлем сертификаты мен ЭШФ негізінде;</w:t>
      </w:r>
    </w:p>
    <w:p>
      <w:pPr>
        <w:spacing w:after="0"/>
        <w:ind w:left="0"/>
        <w:jc w:val="both"/>
      </w:pPr>
      <w:r>
        <w:rPr>
          <w:rFonts w:ascii="Times New Roman"/>
          <w:b w:val="false"/>
          <w:i w:val="false"/>
          <w:color w:val="000000"/>
          <w:sz w:val="28"/>
        </w:rPr>
        <w:t>
      қосалқы мердігерлер ЭШФ негізінде жүзеге асырады.</w:t>
      </w:r>
    </w:p>
    <w:p>
      <w:pPr>
        <w:spacing w:after="0"/>
        <w:ind w:left="0"/>
        <w:jc w:val="both"/>
      </w:pPr>
      <w:r>
        <w:rPr>
          <w:rFonts w:ascii="Times New Roman"/>
          <w:b w:val="false"/>
          <w:i w:val="false"/>
          <w:color w:val="000000"/>
          <w:sz w:val="28"/>
        </w:rPr>
        <w:t>
      Бас мердігердің қосалқы мердігерлерге мемлекеттік сатып алу шоттарына және ақшаны түпкілікті алушы қосалқы мердігерлерге (тауарларды, жұмыстарды, қызметтерді өндірушілерге) екінші деңгейдегі банкте ашық шоттарға аванстық (алдын-ала) төлемді жасалған шарт сомасының 30 пайызынан аспайтын мөлшерде аударуы төлем тапсырмасы негізінде жүзеге асырылады.</w:t>
      </w:r>
    </w:p>
    <w:p>
      <w:pPr>
        <w:spacing w:after="0"/>
        <w:ind w:left="0"/>
        <w:jc w:val="both"/>
      </w:pPr>
      <w:r>
        <w:rPr>
          <w:rFonts w:ascii="Times New Roman"/>
          <w:b w:val="false"/>
          <w:i w:val="false"/>
          <w:color w:val="000000"/>
          <w:sz w:val="28"/>
        </w:rPr>
        <w:t>
      Қосалқы мердігерлердің мемлекеттік сатып алу шоттарынан ақшаны түпкілікті алушы қосалқы мердігерлерге (тауарларды, жұмыстарды, қызметтерді өндірушілерге) аванстық (алдын-ала) төлемді жасалған шарт сомасының 30 пайызынан аспайтын мөлшерде аударуы төлем тапсырмасы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447-тармақтың</w:t>
      </w:r>
      <w:r>
        <w:rPr>
          <w:rFonts w:ascii="Times New Roman"/>
          <w:b w:val="false"/>
          <w:i w:val="false"/>
          <w:color w:val="000000"/>
          <w:sz w:val="28"/>
        </w:rPr>
        <w:t xml:space="preserve"> бірінші бөлігі мынадай редакцияда жазылсын:</w:t>
      </w:r>
    </w:p>
    <w:bookmarkStart w:name="z14" w:id="7"/>
    <w:p>
      <w:pPr>
        <w:spacing w:after="0"/>
        <w:ind w:left="0"/>
        <w:jc w:val="both"/>
      </w:pPr>
      <w:r>
        <w:rPr>
          <w:rFonts w:ascii="Times New Roman"/>
          <w:b w:val="false"/>
          <w:i w:val="false"/>
          <w:color w:val="000000"/>
          <w:sz w:val="28"/>
        </w:rPr>
        <w:t>
      "447. Қайырымдылық көмекті ағымдағы жылы мақсатқа сай пайдаланбаған мемлекеттік мекеме оны келесі жылы мақсатқа сай пайдаланады.".</w:t>
      </w:r>
    </w:p>
    <w:bookmarkEnd w:id="7"/>
    <w:bookmarkStart w:name="z15" w:id="8"/>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8"/>
    <w:bookmarkStart w:name="z16" w:id="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9"/>
    <w:bookmarkStart w:name="z17" w:id="1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0"/>
    <w:bookmarkStart w:name="z18" w:id="11"/>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11"/>
    <w:bookmarkStart w:name="z19"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12"/>
    <w:bookmarkStart w:name="z20"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